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CEB7" w14:textId="3B4E2497" w:rsidR="003114B5" w:rsidRDefault="003253F4" w:rsidP="002D007A">
      <w:pPr>
        <w:pStyle w:val="Heading2"/>
        <w:numPr>
          <w:ilvl w:val="0"/>
          <w:numId w:val="0"/>
        </w:numPr>
        <w:spacing w:before="120" w:after="0" w:line="300" w:lineRule="atLeast"/>
        <w:jc w:val="both"/>
        <w:rPr>
          <w:rFonts w:ascii="Sylfaen" w:hAnsi="Sylfaen" w:cstheme="minorHAnsi"/>
          <w:szCs w:val="22"/>
          <w:lang w:val="en-US"/>
        </w:rPr>
      </w:pPr>
      <w:bookmarkStart w:id="0" w:name="_GoBack"/>
      <w:bookmarkEnd w:id="0"/>
      <w:r>
        <w:rPr>
          <w:rFonts w:ascii="Sylfaen" w:hAnsi="Sylfaen" w:cstheme="minorHAnsi"/>
          <w:szCs w:val="22"/>
          <w:lang w:val="en-US"/>
        </w:rPr>
        <w:t xml:space="preserve">FIND – Pilot Project </w:t>
      </w:r>
    </w:p>
    <w:p w14:paraId="3FDE8421" w14:textId="77777777" w:rsidR="003253F4" w:rsidRPr="003253F4" w:rsidRDefault="003253F4" w:rsidP="003253F4">
      <w:pPr>
        <w:rPr>
          <w:lang w:eastAsia="en-IN"/>
        </w:rPr>
      </w:pPr>
    </w:p>
    <w:p w14:paraId="2FEFB0C3" w14:textId="77777777" w:rsidR="003253F4" w:rsidRDefault="003253F4" w:rsidP="003114B5">
      <w:pPr>
        <w:spacing w:before="120" w:after="0" w:line="300" w:lineRule="atLeast"/>
        <w:jc w:val="both"/>
        <w:rPr>
          <w:rFonts w:cstheme="minorHAnsi"/>
        </w:rPr>
      </w:pPr>
      <w:r>
        <w:rPr>
          <w:rFonts w:cstheme="minorHAnsi"/>
        </w:rPr>
        <w:t xml:space="preserve">Background: </w:t>
      </w:r>
    </w:p>
    <w:p w14:paraId="13CEEF84" w14:textId="6B68D63C" w:rsidR="003114B5" w:rsidRPr="003114B5" w:rsidRDefault="003114B5" w:rsidP="003114B5">
      <w:pPr>
        <w:spacing w:before="120" w:after="0" w:line="300" w:lineRule="atLeast"/>
        <w:jc w:val="both"/>
        <w:rPr>
          <w:rFonts w:cstheme="minorHAnsi"/>
        </w:rPr>
      </w:pPr>
      <w:r w:rsidRPr="003114B5">
        <w:rPr>
          <w:rFonts w:cstheme="minorHAnsi"/>
        </w:rPr>
        <w:t>Hepatitis C virus (HCV) infection is a major public health problem with more than 100 million people worldwide having been exposed</w:t>
      </w:r>
      <w:sdt>
        <w:sdtPr>
          <w:rPr>
            <w:rFonts w:cstheme="minorHAnsi"/>
          </w:rPr>
          <w:id w:val="-568274636"/>
          <w:citation/>
        </w:sdtPr>
        <w:sdtEndPr/>
        <w:sdtContent>
          <w:r w:rsidRPr="003114B5">
            <w:rPr>
              <w:rFonts w:cstheme="minorHAnsi"/>
            </w:rPr>
            <w:fldChar w:fldCharType="begin"/>
          </w:r>
          <w:r w:rsidRPr="003114B5">
            <w:rPr>
              <w:rFonts w:cstheme="minorHAnsi"/>
            </w:rPr>
            <w:instrText xml:space="preserve">CITATION Org16 \l 1033 </w:instrText>
          </w:r>
          <w:r w:rsidRPr="003114B5">
            <w:rPr>
              <w:rFonts w:cstheme="minorHAnsi"/>
            </w:rPr>
            <w:fldChar w:fldCharType="separate"/>
          </w:r>
          <w:r w:rsidRPr="003114B5">
            <w:rPr>
              <w:rFonts w:cstheme="minorHAnsi"/>
              <w:noProof/>
            </w:rPr>
            <w:t xml:space="preserve"> [1]</w:t>
          </w:r>
          <w:r w:rsidRPr="003114B5">
            <w:rPr>
              <w:rFonts w:cstheme="minorHAnsi"/>
            </w:rPr>
            <w:fldChar w:fldCharType="end"/>
          </w:r>
        </w:sdtContent>
      </w:sdt>
      <w:sdt>
        <w:sdtPr>
          <w:rPr>
            <w:rFonts w:cstheme="minorHAnsi"/>
          </w:rPr>
          <w:id w:val="258330580"/>
          <w:citation/>
        </w:sdtPr>
        <w:sdtEndPr/>
        <w:sdtContent>
          <w:r w:rsidRPr="003114B5">
            <w:rPr>
              <w:rFonts w:cstheme="minorHAnsi"/>
            </w:rPr>
            <w:fldChar w:fldCharType="begin"/>
          </w:r>
          <w:r w:rsidRPr="003114B5">
            <w:rPr>
              <w:rFonts w:cstheme="minorHAnsi"/>
            </w:rPr>
            <w:instrText xml:space="preserve">CITATION Moh13 \l 1033 </w:instrText>
          </w:r>
          <w:r w:rsidRPr="003114B5">
            <w:rPr>
              <w:rFonts w:cstheme="minorHAnsi"/>
            </w:rPr>
            <w:fldChar w:fldCharType="separate"/>
          </w:r>
          <w:r w:rsidRPr="003114B5">
            <w:rPr>
              <w:rFonts w:cstheme="minorHAnsi"/>
              <w:noProof/>
            </w:rPr>
            <w:t xml:space="preserve"> [2]</w:t>
          </w:r>
          <w:r w:rsidRPr="003114B5">
            <w:rPr>
              <w:rFonts w:cstheme="minorHAnsi"/>
            </w:rPr>
            <w:fldChar w:fldCharType="end"/>
          </w:r>
        </w:sdtContent>
      </w:sdt>
      <w:r w:rsidRPr="003114B5">
        <w:rPr>
          <w:rFonts w:cstheme="minorHAnsi"/>
        </w:rPr>
        <w:t>. It disproportionately affects vulnerable and socially marginalized populations in low- and middle-income countries (LMICs), including persons who inject drugs (PWID) and HIV and TB co-infected patients</w:t>
      </w:r>
      <w:sdt>
        <w:sdtPr>
          <w:rPr>
            <w:rFonts w:cstheme="minorHAnsi"/>
          </w:rPr>
          <w:id w:val="1454747281"/>
          <w:citation/>
        </w:sdtPr>
        <w:sdtEndPr/>
        <w:sdtContent>
          <w:r w:rsidRPr="003114B5">
            <w:rPr>
              <w:rFonts w:cstheme="minorHAnsi"/>
            </w:rPr>
            <w:fldChar w:fldCharType="begin"/>
          </w:r>
          <w:r w:rsidRPr="003114B5">
            <w:rPr>
              <w:rFonts w:cstheme="minorHAnsi"/>
            </w:rPr>
            <w:instrText xml:space="preserve">CITATION Org16 \l 1033 </w:instrText>
          </w:r>
          <w:r w:rsidRPr="003114B5">
            <w:rPr>
              <w:rFonts w:cstheme="minorHAnsi"/>
            </w:rPr>
            <w:fldChar w:fldCharType="separate"/>
          </w:r>
          <w:r w:rsidRPr="003114B5">
            <w:rPr>
              <w:rFonts w:cstheme="minorHAnsi"/>
              <w:noProof/>
            </w:rPr>
            <w:t xml:space="preserve"> [1]</w:t>
          </w:r>
          <w:r w:rsidRPr="003114B5">
            <w:rPr>
              <w:rFonts w:cstheme="minorHAnsi"/>
            </w:rPr>
            <w:fldChar w:fldCharType="end"/>
          </w:r>
        </w:sdtContent>
      </w:sdt>
      <w:r w:rsidRPr="003114B5">
        <w:rPr>
          <w:rFonts w:cstheme="minorHAnsi"/>
        </w:rPr>
        <w:t xml:space="preserve">. Clinical symptoms in most cases are non-specific and mild, and as a result most people infected with HCV do not seek care.  If untreated, 55% to 85% of those infected will progress to chronic disease, potentially leading to cirrhosis, hepatocellular carcinoma, and liver failure. </w:t>
      </w:r>
    </w:p>
    <w:p w14:paraId="04C754CD" w14:textId="77777777" w:rsidR="003114B5" w:rsidRPr="003114B5" w:rsidRDefault="003114B5" w:rsidP="003114B5">
      <w:pPr>
        <w:spacing w:before="120" w:after="0" w:line="300" w:lineRule="atLeast"/>
        <w:jc w:val="both"/>
        <w:rPr>
          <w:rFonts w:cstheme="minorHAnsi"/>
        </w:rPr>
      </w:pPr>
      <w:r w:rsidRPr="003114B5">
        <w:rPr>
          <w:rFonts w:cstheme="minorHAnsi"/>
        </w:rPr>
        <w:t xml:space="preserve">Georgia, a middle income country with an estimated population of 3.7 million people, is among the highest burden countries, with an HCV prevalence of 6.7% in the general population. Circulating HCV genotypes in the Georgian population include genotypes 1, 2 and 3 </w:t>
      </w:r>
      <w:sdt>
        <w:sdtPr>
          <w:rPr>
            <w:rFonts w:cstheme="minorHAnsi"/>
          </w:rPr>
          <w:id w:val="1105379470"/>
          <w:citation/>
        </w:sdtPr>
        <w:sdtEndPr/>
        <w:sdtContent>
          <w:r w:rsidRPr="003114B5">
            <w:rPr>
              <w:rFonts w:cstheme="minorHAnsi"/>
            </w:rPr>
            <w:fldChar w:fldCharType="begin"/>
          </w:r>
          <w:r w:rsidRPr="003114B5">
            <w:rPr>
              <w:rFonts w:cstheme="minorHAnsi"/>
            </w:rPr>
            <w:instrText xml:space="preserve">CITATION Kar09 \l 1033 </w:instrText>
          </w:r>
          <w:r w:rsidRPr="003114B5">
            <w:rPr>
              <w:rFonts w:cstheme="minorHAnsi"/>
            </w:rPr>
            <w:fldChar w:fldCharType="separate"/>
          </w:r>
          <w:r w:rsidRPr="003114B5">
            <w:rPr>
              <w:rFonts w:cstheme="minorHAnsi"/>
              <w:noProof/>
            </w:rPr>
            <w:t>[3]</w:t>
          </w:r>
          <w:r w:rsidRPr="003114B5">
            <w:rPr>
              <w:rFonts w:cstheme="minorHAnsi"/>
            </w:rPr>
            <w:fldChar w:fldCharType="end"/>
          </w:r>
        </w:sdtContent>
      </w:sdt>
      <w:sdt>
        <w:sdtPr>
          <w:rPr>
            <w:rFonts w:cstheme="minorHAnsi"/>
          </w:rPr>
          <w:id w:val="1584255478"/>
          <w:citation/>
        </w:sdtPr>
        <w:sdtEndPr/>
        <w:sdtContent>
          <w:r w:rsidRPr="003114B5">
            <w:rPr>
              <w:rFonts w:cstheme="minorHAnsi"/>
            </w:rPr>
            <w:fldChar w:fldCharType="begin"/>
          </w:r>
          <w:r w:rsidRPr="003114B5">
            <w:rPr>
              <w:rFonts w:cstheme="minorHAnsi"/>
            </w:rPr>
            <w:instrText xml:space="preserve">CITATION Kar15 \l 1033 </w:instrText>
          </w:r>
          <w:r w:rsidRPr="003114B5">
            <w:rPr>
              <w:rFonts w:cstheme="minorHAnsi"/>
            </w:rPr>
            <w:fldChar w:fldCharType="separate"/>
          </w:r>
          <w:r w:rsidRPr="003114B5">
            <w:rPr>
              <w:rFonts w:cstheme="minorHAnsi"/>
              <w:noProof/>
            </w:rPr>
            <w:t xml:space="preserve"> [4]</w:t>
          </w:r>
          <w:r w:rsidRPr="003114B5">
            <w:rPr>
              <w:rFonts w:cstheme="minorHAnsi"/>
            </w:rPr>
            <w:fldChar w:fldCharType="end"/>
          </w:r>
        </w:sdtContent>
      </w:sdt>
      <w:sdt>
        <w:sdtPr>
          <w:rPr>
            <w:rFonts w:cstheme="minorHAnsi"/>
          </w:rPr>
          <w:id w:val="1106696223"/>
          <w:citation/>
        </w:sdtPr>
        <w:sdtEndPr/>
        <w:sdtContent>
          <w:r w:rsidRPr="003114B5">
            <w:rPr>
              <w:rFonts w:cstheme="minorHAnsi"/>
            </w:rPr>
            <w:fldChar w:fldCharType="begin"/>
          </w:r>
          <w:r w:rsidRPr="003114B5">
            <w:rPr>
              <w:rFonts w:cstheme="minorHAnsi"/>
            </w:rPr>
            <w:instrText xml:space="preserve">CITATION Zak16 \l 1033 </w:instrText>
          </w:r>
          <w:r w:rsidRPr="003114B5">
            <w:rPr>
              <w:rFonts w:cstheme="minorHAnsi"/>
            </w:rPr>
            <w:fldChar w:fldCharType="separate"/>
          </w:r>
          <w:r w:rsidRPr="003114B5">
            <w:rPr>
              <w:rFonts w:cstheme="minorHAnsi"/>
              <w:noProof/>
            </w:rPr>
            <w:t xml:space="preserve"> [5]</w:t>
          </w:r>
          <w:r w:rsidRPr="003114B5">
            <w:rPr>
              <w:rFonts w:cstheme="minorHAnsi"/>
            </w:rPr>
            <w:fldChar w:fldCharType="end"/>
          </w:r>
        </w:sdtContent>
      </w:sdt>
      <w:r w:rsidRPr="003114B5">
        <w:rPr>
          <w:rFonts w:cstheme="minorHAnsi"/>
        </w:rPr>
        <w:t>. The burden of disease is largely associated with unsafe injections among persons who inject drugs (PWID) and inadequate infection control in health care settings</w:t>
      </w:r>
      <w:sdt>
        <w:sdtPr>
          <w:rPr>
            <w:rFonts w:cstheme="minorHAnsi"/>
          </w:rPr>
          <w:id w:val="-1992704423"/>
          <w:citation/>
        </w:sdtPr>
        <w:sdtEndPr/>
        <w:sdtContent>
          <w:r w:rsidRPr="003114B5">
            <w:rPr>
              <w:rFonts w:cstheme="minorHAnsi"/>
            </w:rPr>
            <w:fldChar w:fldCharType="begin"/>
          </w:r>
          <w:r w:rsidRPr="003114B5">
            <w:rPr>
              <w:rFonts w:cstheme="minorHAnsi"/>
            </w:rPr>
            <w:instrText xml:space="preserve">CITATION Gvi16 \l 1033 </w:instrText>
          </w:r>
          <w:r w:rsidRPr="003114B5">
            <w:rPr>
              <w:rFonts w:cstheme="minorHAnsi"/>
            </w:rPr>
            <w:fldChar w:fldCharType="separate"/>
          </w:r>
          <w:r w:rsidRPr="003114B5">
            <w:rPr>
              <w:rFonts w:cstheme="minorHAnsi"/>
              <w:noProof/>
            </w:rPr>
            <w:t xml:space="preserve"> [6]</w:t>
          </w:r>
          <w:r w:rsidRPr="003114B5">
            <w:rPr>
              <w:rFonts w:cstheme="minorHAnsi"/>
            </w:rPr>
            <w:fldChar w:fldCharType="end"/>
          </w:r>
        </w:sdtContent>
      </w:sdt>
      <w:r w:rsidRPr="003114B5">
        <w:rPr>
          <w:rFonts w:cstheme="minorHAnsi"/>
        </w:rPr>
        <w:t xml:space="preserve">. The number of PWID has increased from 40,000 in 2009 </w:t>
      </w:r>
      <w:sdt>
        <w:sdtPr>
          <w:rPr>
            <w:rFonts w:cstheme="minorHAnsi"/>
          </w:rPr>
          <w:id w:val="-1092311307"/>
          <w:citation/>
        </w:sdtPr>
        <w:sdtEndPr/>
        <w:sdtContent>
          <w:r w:rsidRPr="003114B5">
            <w:rPr>
              <w:rFonts w:cstheme="minorHAnsi"/>
            </w:rPr>
            <w:fldChar w:fldCharType="begin"/>
          </w:r>
          <w:r w:rsidRPr="003114B5">
            <w:rPr>
              <w:rFonts w:cstheme="minorHAnsi"/>
            </w:rPr>
            <w:instrText xml:space="preserve">CITATION Sir09 \l 1033 </w:instrText>
          </w:r>
          <w:r w:rsidRPr="003114B5">
            <w:rPr>
              <w:rFonts w:cstheme="minorHAnsi"/>
            </w:rPr>
            <w:fldChar w:fldCharType="separate"/>
          </w:r>
          <w:r w:rsidRPr="003114B5">
            <w:rPr>
              <w:rFonts w:cstheme="minorHAnsi"/>
              <w:noProof/>
            </w:rPr>
            <w:t>[7]</w:t>
          </w:r>
          <w:r w:rsidRPr="003114B5">
            <w:rPr>
              <w:rFonts w:cstheme="minorHAnsi"/>
            </w:rPr>
            <w:fldChar w:fldCharType="end"/>
          </w:r>
        </w:sdtContent>
      </w:sdt>
      <w:r w:rsidRPr="003114B5">
        <w:rPr>
          <w:rFonts w:cstheme="minorHAnsi"/>
        </w:rPr>
        <w:t xml:space="preserve"> to 49,700 in 2015, and this group is disproportionately affected by HCV. Several studies conducted in 2001-2006 estimated the prevalence of HCV among PWID to be between 50% and 70%</w:t>
      </w:r>
      <w:sdt>
        <w:sdtPr>
          <w:rPr>
            <w:rFonts w:cstheme="minorHAnsi"/>
          </w:rPr>
          <w:id w:val="1984193158"/>
          <w:citation/>
        </w:sdtPr>
        <w:sdtEndPr/>
        <w:sdtContent>
          <w:r w:rsidRPr="003114B5">
            <w:rPr>
              <w:rFonts w:cstheme="minorHAnsi"/>
            </w:rPr>
            <w:fldChar w:fldCharType="begin"/>
          </w:r>
          <w:r w:rsidRPr="003114B5">
            <w:rPr>
              <w:rFonts w:cstheme="minorHAnsi"/>
            </w:rPr>
            <w:instrText xml:space="preserve">CITATION Stv06 \l 1033 </w:instrText>
          </w:r>
          <w:r w:rsidRPr="003114B5">
            <w:rPr>
              <w:rFonts w:cstheme="minorHAnsi"/>
            </w:rPr>
            <w:fldChar w:fldCharType="separate"/>
          </w:r>
          <w:r w:rsidRPr="003114B5">
            <w:rPr>
              <w:rFonts w:cstheme="minorHAnsi"/>
              <w:noProof/>
            </w:rPr>
            <w:t xml:space="preserve"> [8]</w:t>
          </w:r>
          <w:r w:rsidRPr="003114B5">
            <w:rPr>
              <w:rFonts w:cstheme="minorHAnsi"/>
            </w:rPr>
            <w:fldChar w:fldCharType="end"/>
          </w:r>
        </w:sdtContent>
      </w:sdt>
      <w:sdt>
        <w:sdtPr>
          <w:rPr>
            <w:rFonts w:cstheme="minorHAnsi"/>
          </w:rPr>
          <w:id w:val="148025974"/>
          <w:citation/>
        </w:sdtPr>
        <w:sdtEndPr/>
        <w:sdtContent>
          <w:r w:rsidRPr="003114B5">
            <w:rPr>
              <w:rFonts w:cstheme="minorHAnsi"/>
            </w:rPr>
            <w:fldChar w:fldCharType="begin"/>
          </w:r>
          <w:r w:rsidRPr="003114B5">
            <w:rPr>
              <w:rFonts w:cstheme="minorHAnsi"/>
            </w:rPr>
            <w:instrText xml:space="preserve">CITATION Kar09 \l 1033 </w:instrText>
          </w:r>
          <w:r w:rsidRPr="003114B5">
            <w:rPr>
              <w:rFonts w:cstheme="minorHAnsi"/>
            </w:rPr>
            <w:fldChar w:fldCharType="separate"/>
          </w:r>
          <w:r w:rsidRPr="003114B5">
            <w:rPr>
              <w:rFonts w:cstheme="minorHAnsi"/>
              <w:noProof/>
            </w:rPr>
            <w:t xml:space="preserve"> [3]</w:t>
          </w:r>
          <w:r w:rsidRPr="003114B5">
            <w:rPr>
              <w:rFonts w:cstheme="minorHAnsi"/>
            </w:rPr>
            <w:fldChar w:fldCharType="end"/>
          </w:r>
        </w:sdtContent>
      </w:sdt>
      <w:sdt>
        <w:sdtPr>
          <w:rPr>
            <w:rFonts w:cstheme="minorHAnsi"/>
          </w:rPr>
          <w:id w:val="-815255123"/>
          <w:citation/>
        </w:sdtPr>
        <w:sdtEndPr/>
        <w:sdtContent>
          <w:r w:rsidRPr="003114B5">
            <w:rPr>
              <w:rFonts w:cstheme="minorHAnsi"/>
            </w:rPr>
            <w:fldChar w:fldCharType="begin"/>
          </w:r>
          <w:r w:rsidRPr="003114B5">
            <w:rPr>
              <w:rFonts w:cstheme="minorHAnsi"/>
            </w:rPr>
            <w:instrText xml:space="preserve">CITATION Der07 \l 1033 </w:instrText>
          </w:r>
          <w:r w:rsidRPr="003114B5">
            <w:rPr>
              <w:rFonts w:cstheme="minorHAnsi"/>
            </w:rPr>
            <w:fldChar w:fldCharType="separate"/>
          </w:r>
          <w:r w:rsidRPr="003114B5">
            <w:rPr>
              <w:rFonts w:cstheme="minorHAnsi"/>
              <w:noProof/>
            </w:rPr>
            <w:t xml:space="preserve"> [9]</w:t>
          </w:r>
          <w:r w:rsidRPr="003114B5">
            <w:rPr>
              <w:rFonts w:cstheme="minorHAnsi"/>
            </w:rPr>
            <w:fldChar w:fldCharType="end"/>
          </w:r>
        </w:sdtContent>
      </w:sdt>
      <w:r w:rsidRPr="003114B5">
        <w:rPr>
          <w:rFonts w:cstheme="minorHAnsi"/>
        </w:rPr>
        <w:t>. A more recent study placed the prevalence at 91.9%, although this could be an overestimate due to acknowledged selection bias</w:t>
      </w:r>
      <w:sdt>
        <w:sdtPr>
          <w:rPr>
            <w:rFonts w:cstheme="minorHAnsi"/>
          </w:rPr>
          <w:id w:val="484821449"/>
          <w:citation/>
        </w:sdtPr>
        <w:sdtEndPr/>
        <w:sdtContent>
          <w:r w:rsidRPr="003114B5">
            <w:rPr>
              <w:rFonts w:cstheme="minorHAnsi"/>
            </w:rPr>
            <w:fldChar w:fldCharType="begin"/>
          </w:r>
          <w:r w:rsidRPr="003114B5">
            <w:rPr>
              <w:rFonts w:cstheme="minorHAnsi"/>
            </w:rPr>
            <w:instrText xml:space="preserve">CITATION Bou14 \l 1033 </w:instrText>
          </w:r>
          <w:r w:rsidRPr="003114B5">
            <w:rPr>
              <w:rFonts w:cstheme="minorHAnsi"/>
            </w:rPr>
            <w:fldChar w:fldCharType="separate"/>
          </w:r>
          <w:r w:rsidRPr="003114B5">
            <w:rPr>
              <w:rFonts w:cstheme="minorHAnsi"/>
              <w:noProof/>
            </w:rPr>
            <w:t xml:space="preserve"> [10]</w:t>
          </w:r>
          <w:r w:rsidRPr="003114B5">
            <w:rPr>
              <w:rFonts w:cstheme="minorHAnsi"/>
            </w:rPr>
            <w:fldChar w:fldCharType="end"/>
          </w:r>
        </w:sdtContent>
      </w:sdt>
      <w:r w:rsidRPr="003114B5">
        <w:rPr>
          <w:rFonts w:cstheme="minorHAnsi"/>
        </w:rPr>
        <w:t xml:space="preserve">. Despite the high prevalence, many PWID remain unaware of their HCV infection status, and their HCV testing and treatment options largely because of poor health seeking </w:t>
      </w:r>
      <w:proofErr w:type="spellStart"/>
      <w:r w:rsidRPr="003114B5">
        <w:rPr>
          <w:rFonts w:cstheme="minorHAnsi"/>
        </w:rPr>
        <w:t>behaviour</w:t>
      </w:r>
      <w:proofErr w:type="spellEnd"/>
      <w:r w:rsidRPr="003114B5">
        <w:rPr>
          <w:rFonts w:cstheme="minorHAnsi"/>
        </w:rPr>
        <w:t xml:space="preserve"> and limited access to services. </w:t>
      </w:r>
    </w:p>
    <w:p w14:paraId="0830E265" w14:textId="6CC3641F" w:rsidR="003114B5" w:rsidRPr="003114B5" w:rsidRDefault="003114B5" w:rsidP="003114B5">
      <w:pPr>
        <w:spacing w:before="120" w:after="0" w:line="300" w:lineRule="atLeast"/>
        <w:contextualSpacing/>
        <w:jc w:val="both"/>
        <w:rPr>
          <w:rFonts w:cstheme="minorHAnsi"/>
        </w:rPr>
      </w:pPr>
      <w:r w:rsidRPr="003114B5">
        <w:rPr>
          <w:rFonts w:cstheme="minorHAnsi"/>
        </w:rPr>
        <w:tab/>
      </w:r>
    </w:p>
    <w:p w14:paraId="5669EA79" w14:textId="77777777" w:rsidR="003114B5" w:rsidRPr="003114B5" w:rsidRDefault="003114B5" w:rsidP="003253F4">
      <w:pPr>
        <w:pStyle w:val="Heading3"/>
        <w:numPr>
          <w:ilvl w:val="0"/>
          <w:numId w:val="0"/>
        </w:numPr>
        <w:ind w:left="720" w:hanging="720"/>
        <w:jc w:val="both"/>
        <w:rPr>
          <w:rFonts w:asciiTheme="minorHAnsi" w:hAnsiTheme="minorHAnsi" w:cstheme="minorHAnsi"/>
          <w:b/>
          <w:szCs w:val="22"/>
          <w:lang w:eastAsia="en-US"/>
        </w:rPr>
      </w:pPr>
      <w:bookmarkStart w:id="1" w:name="_Toc483908232"/>
      <w:bookmarkStart w:id="2" w:name="_Toc486839218"/>
      <w:bookmarkStart w:id="3" w:name="_Toc486924326"/>
      <w:bookmarkStart w:id="4" w:name="_Toc487041678"/>
      <w:bookmarkStart w:id="5" w:name="_Toc487041881"/>
      <w:bookmarkStart w:id="6" w:name="_Toc487041971"/>
      <w:bookmarkStart w:id="7" w:name="_Toc487466796"/>
      <w:bookmarkStart w:id="8" w:name="_Toc487467173"/>
      <w:bookmarkStart w:id="9" w:name="_Toc487467365"/>
      <w:bookmarkStart w:id="10" w:name="_Toc503342624"/>
      <w:bookmarkStart w:id="11" w:name="_Toc504459295"/>
      <w:r w:rsidRPr="003114B5">
        <w:rPr>
          <w:rFonts w:asciiTheme="minorHAnsi" w:hAnsiTheme="minorHAnsi" w:cstheme="minorHAnsi"/>
          <w:b/>
          <w:szCs w:val="22"/>
          <w:lang w:eastAsia="en-US"/>
        </w:rPr>
        <w:t>The Georgia HCV programme</w:t>
      </w:r>
      <w:bookmarkEnd w:id="1"/>
      <w:bookmarkEnd w:id="2"/>
      <w:bookmarkEnd w:id="3"/>
      <w:bookmarkEnd w:id="4"/>
      <w:bookmarkEnd w:id="5"/>
      <w:bookmarkEnd w:id="6"/>
      <w:bookmarkEnd w:id="7"/>
      <w:bookmarkEnd w:id="8"/>
      <w:bookmarkEnd w:id="9"/>
      <w:bookmarkEnd w:id="10"/>
      <w:bookmarkEnd w:id="11"/>
    </w:p>
    <w:p w14:paraId="3854FD1F" w14:textId="77777777" w:rsidR="003114B5" w:rsidRPr="003114B5" w:rsidRDefault="003114B5" w:rsidP="003114B5">
      <w:pPr>
        <w:spacing w:before="120" w:after="0" w:line="300" w:lineRule="atLeast"/>
        <w:contextualSpacing/>
        <w:jc w:val="both"/>
        <w:rPr>
          <w:rFonts w:cstheme="minorHAnsi"/>
        </w:rPr>
      </w:pPr>
      <w:r w:rsidRPr="003114B5">
        <w:rPr>
          <w:rFonts w:cstheme="minorHAnsi"/>
        </w:rPr>
        <w:t xml:space="preserve">In line with the (WHO) HCV elimination targets, Georgia embarked on an HCV elimination </w:t>
      </w:r>
      <w:proofErr w:type="spellStart"/>
      <w:r w:rsidRPr="003114B5">
        <w:rPr>
          <w:rFonts w:cstheme="minorHAnsi"/>
        </w:rPr>
        <w:t>programme</w:t>
      </w:r>
      <w:proofErr w:type="spellEnd"/>
      <w:r w:rsidRPr="003114B5">
        <w:rPr>
          <w:rFonts w:cstheme="minorHAnsi"/>
        </w:rPr>
        <w:t xml:space="preserve"> in 2015. The </w:t>
      </w:r>
      <w:proofErr w:type="spellStart"/>
      <w:r w:rsidRPr="003114B5">
        <w:rPr>
          <w:rFonts w:cstheme="minorHAnsi"/>
        </w:rPr>
        <w:t>programme</w:t>
      </w:r>
      <w:proofErr w:type="spellEnd"/>
      <w:r w:rsidRPr="003114B5">
        <w:rPr>
          <w:rFonts w:cstheme="minorHAnsi"/>
        </w:rPr>
        <w:t xml:space="preserve"> is prioritizing HCV control and prevention activities</w:t>
      </w:r>
      <w:sdt>
        <w:sdtPr>
          <w:rPr>
            <w:rFonts w:cstheme="minorHAnsi"/>
          </w:rPr>
          <w:id w:val="636142585"/>
          <w:citation/>
        </w:sdtPr>
        <w:sdtEndPr/>
        <w:sdtContent>
          <w:r w:rsidRPr="003114B5">
            <w:rPr>
              <w:rFonts w:cstheme="minorHAnsi"/>
            </w:rPr>
            <w:fldChar w:fldCharType="begin"/>
          </w:r>
          <w:r w:rsidRPr="003114B5">
            <w:rPr>
              <w:rFonts w:cstheme="minorHAnsi"/>
            </w:rPr>
            <w:instrText xml:space="preserve">CITATION Gvi16 \l 1033 </w:instrText>
          </w:r>
          <w:r w:rsidRPr="003114B5">
            <w:rPr>
              <w:rFonts w:cstheme="minorHAnsi"/>
            </w:rPr>
            <w:fldChar w:fldCharType="separate"/>
          </w:r>
          <w:r w:rsidRPr="003114B5">
            <w:rPr>
              <w:rFonts w:cstheme="minorHAnsi"/>
              <w:noProof/>
            </w:rPr>
            <w:t xml:space="preserve"> [6]</w:t>
          </w:r>
          <w:r w:rsidRPr="003114B5">
            <w:rPr>
              <w:rFonts w:cstheme="minorHAnsi"/>
            </w:rPr>
            <w:fldChar w:fldCharType="end"/>
          </w:r>
        </w:sdtContent>
      </w:sdt>
      <w:r w:rsidRPr="003114B5">
        <w:rPr>
          <w:rFonts w:cstheme="minorHAnsi"/>
        </w:rPr>
        <w:t xml:space="preserve">. Georgia`s small population, availability of DAAs, and government commitment provide a unique opportunity to eliminate HCV infection. The </w:t>
      </w:r>
      <w:proofErr w:type="spellStart"/>
      <w:r w:rsidRPr="003114B5">
        <w:rPr>
          <w:rFonts w:cstheme="minorHAnsi"/>
        </w:rPr>
        <w:t>programme</w:t>
      </w:r>
      <w:proofErr w:type="spellEnd"/>
      <w:r w:rsidRPr="003114B5">
        <w:rPr>
          <w:rFonts w:cstheme="minorHAnsi"/>
        </w:rPr>
        <w:t xml:space="preserve"> initially prioritized treatment of individuals with advanced disease (Phase 1). However, a large proportion of infected persons remain unaware of their infection and are not currently accessing care and treatment. The second phase of the </w:t>
      </w:r>
      <w:proofErr w:type="spellStart"/>
      <w:r w:rsidRPr="003114B5">
        <w:rPr>
          <w:rFonts w:cstheme="minorHAnsi"/>
        </w:rPr>
        <w:t>programme</w:t>
      </w:r>
      <w:proofErr w:type="spellEnd"/>
      <w:r w:rsidRPr="003114B5">
        <w:rPr>
          <w:rFonts w:cstheme="minorHAnsi"/>
        </w:rPr>
        <w:t>, therefore, aims to expand the treatment more widely to those infected with HCV, using a simplified service delivery approach for an estimated 400,000 patients.</w:t>
      </w:r>
    </w:p>
    <w:p w14:paraId="2F7F6DF2" w14:textId="77777777" w:rsidR="003114B5" w:rsidRPr="003114B5" w:rsidRDefault="003114B5" w:rsidP="003114B5">
      <w:pPr>
        <w:spacing w:before="120" w:after="0" w:line="300" w:lineRule="atLeast"/>
        <w:contextualSpacing/>
        <w:jc w:val="both"/>
        <w:rPr>
          <w:rFonts w:cstheme="minorHAnsi"/>
        </w:rPr>
      </w:pPr>
    </w:p>
    <w:p w14:paraId="46A9B508" w14:textId="77777777" w:rsidR="003114B5" w:rsidRPr="003114B5" w:rsidRDefault="003114B5" w:rsidP="003114B5">
      <w:pPr>
        <w:spacing w:before="120" w:after="0" w:line="300" w:lineRule="atLeast"/>
        <w:contextualSpacing/>
        <w:jc w:val="both"/>
        <w:rPr>
          <w:rFonts w:cstheme="minorHAnsi"/>
        </w:rPr>
      </w:pPr>
      <w:r w:rsidRPr="003114B5">
        <w:rPr>
          <w:rFonts w:cstheme="minorHAnsi"/>
        </w:rPr>
        <w:t xml:space="preserve">By September, 2016, a total of 30,053 HCV infected persons have registered for the </w:t>
      </w:r>
      <w:proofErr w:type="spellStart"/>
      <w:r w:rsidRPr="003114B5">
        <w:rPr>
          <w:rFonts w:cstheme="minorHAnsi"/>
        </w:rPr>
        <w:t>programme</w:t>
      </w:r>
      <w:proofErr w:type="spellEnd"/>
      <w:r w:rsidRPr="003114B5">
        <w:rPr>
          <w:rFonts w:cstheme="minorHAnsi"/>
        </w:rPr>
        <w:t xml:space="preserve"> reflecting 7.5% of those estimated to be infected. Of those who registered, 19,338 (64.3%) started treatment, and 9,668 patients (50.0% of those who started treatment) completed HCV treatment; 4,064 of those treated had a NAT test done 12 weeks after completion of treatment, of whom 3,250 (80.0%) had no detectable virus. Additional efforts are needed to accelerate HCV elimination in Georgia such as identifying the infectious cases and targeting groups at high risk of infection (i.e. PWID) for test and treat strategies. </w:t>
      </w:r>
    </w:p>
    <w:p w14:paraId="59866C44" w14:textId="77777777" w:rsidR="003114B5" w:rsidRPr="003114B5" w:rsidRDefault="003114B5" w:rsidP="003253F4">
      <w:pPr>
        <w:pStyle w:val="Heading2"/>
        <w:numPr>
          <w:ilvl w:val="0"/>
          <w:numId w:val="0"/>
        </w:numPr>
        <w:spacing w:before="120" w:after="0" w:line="300" w:lineRule="atLeast"/>
        <w:ind w:left="666" w:hanging="576"/>
        <w:jc w:val="both"/>
        <w:rPr>
          <w:rFonts w:asciiTheme="minorHAnsi" w:hAnsiTheme="minorHAnsi" w:cstheme="minorHAnsi"/>
          <w:szCs w:val="22"/>
        </w:rPr>
      </w:pPr>
      <w:bookmarkStart w:id="12" w:name="_Toc504459297"/>
      <w:bookmarkStart w:id="13" w:name="_Toc504459298"/>
      <w:bookmarkEnd w:id="12"/>
      <w:r w:rsidRPr="003114B5">
        <w:rPr>
          <w:rFonts w:asciiTheme="minorHAnsi" w:hAnsiTheme="minorHAnsi" w:cstheme="minorHAnsi"/>
          <w:szCs w:val="22"/>
        </w:rPr>
        <w:t>Rationale for the study</w:t>
      </w:r>
      <w:bookmarkEnd w:id="13"/>
    </w:p>
    <w:p w14:paraId="14F44A4B" w14:textId="77777777" w:rsidR="003114B5" w:rsidRPr="003114B5" w:rsidRDefault="003114B5" w:rsidP="003114B5">
      <w:pPr>
        <w:autoSpaceDE w:val="0"/>
        <w:autoSpaceDN w:val="0"/>
        <w:adjustRightInd w:val="0"/>
        <w:spacing w:before="120" w:after="0" w:line="300" w:lineRule="atLeast"/>
        <w:jc w:val="both"/>
        <w:rPr>
          <w:rFonts w:cstheme="minorHAnsi"/>
        </w:rPr>
      </w:pPr>
      <w:r w:rsidRPr="003114B5">
        <w:rPr>
          <w:rFonts w:cstheme="minorHAnsi"/>
        </w:rPr>
        <w:lastRenderedPageBreak/>
        <w:t>The ultimate goal of HCV screening for high-risk populations, such as PWID, is to identify those with active infection, link them to care, and provide them with effective treatment to cure their infection. Successfully achieving this goal can reduce HCV morbidity, mortality and ongoing transmission. However, there are multiple steps along the HCV care cascade (Figure 1) where individual and structural barriers could prevent infected individuals from completing the process.  If Georgia is to achieve its ambitious targets for HCV elimination</w:t>
      </w:r>
      <w:sdt>
        <w:sdtPr>
          <w:rPr>
            <w:rFonts w:cstheme="minorHAnsi"/>
          </w:rPr>
          <w:id w:val="-627398078"/>
          <w:citation/>
        </w:sdtPr>
        <w:sdtEndPr/>
        <w:sdtContent>
          <w:r w:rsidRPr="003114B5">
            <w:rPr>
              <w:rFonts w:cstheme="minorHAnsi"/>
            </w:rPr>
            <w:fldChar w:fldCharType="begin"/>
          </w:r>
          <w:r w:rsidRPr="003114B5">
            <w:rPr>
              <w:rFonts w:cstheme="minorHAnsi"/>
            </w:rPr>
            <w:instrText xml:space="preserve"> CITATION Gvi16 \l 1033 </w:instrText>
          </w:r>
          <w:r w:rsidRPr="003114B5">
            <w:rPr>
              <w:rFonts w:cstheme="minorHAnsi"/>
            </w:rPr>
            <w:fldChar w:fldCharType="separate"/>
          </w:r>
          <w:r w:rsidRPr="003114B5">
            <w:rPr>
              <w:rFonts w:cstheme="minorHAnsi"/>
              <w:noProof/>
            </w:rPr>
            <w:t xml:space="preserve"> [6]</w:t>
          </w:r>
          <w:r w:rsidRPr="003114B5">
            <w:rPr>
              <w:rFonts w:cstheme="minorHAnsi"/>
            </w:rPr>
            <w:fldChar w:fldCharType="end"/>
          </w:r>
        </w:sdtContent>
      </w:sdt>
      <w:r w:rsidRPr="003114B5">
        <w:rPr>
          <w:rFonts w:cstheme="minorHAnsi"/>
        </w:rPr>
        <w:t xml:space="preserve">, these barriers need to be defined and interventions must be developed to overcome them. To identify the gaps along the care cascade and inform the development of interventions, a cohort of PWID from HRSs in Georgia will be enrolled at the time they test anti-HCV-positive and followed to measure the proportion that advance to each step of the cascade toward completion of treatment (Primary Objective 1.1). </w:t>
      </w:r>
      <w:r w:rsidRPr="003114B5">
        <w:rPr>
          <w:rFonts w:cstheme="minorHAnsi"/>
        </w:rPr>
        <w:tab/>
      </w:r>
    </w:p>
    <w:p w14:paraId="095357A2" w14:textId="5BD8EBB8" w:rsidR="003114B5" w:rsidRPr="003114B5" w:rsidRDefault="003114B5">
      <w:pPr>
        <w:rPr>
          <w:rFonts w:cstheme="minorHAnsi"/>
        </w:rPr>
      </w:pPr>
    </w:p>
    <w:p w14:paraId="7152A19C" w14:textId="77777777" w:rsidR="003114B5" w:rsidRPr="003114B5" w:rsidRDefault="003114B5" w:rsidP="003114B5">
      <w:pPr>
        <w:autoSpaceDE w:val="0"/>
        <w:autoSpaceDN w:val="0"/>
        <w:adjustRightInd w:val="0"/>
        <w:spacing w:before="120" w:after="0" w:line="300" w:lineRule="atLeast"/>
        <w:jc w:val="both"/>
        <w:rPr>
          <w:rFonts w:cstheme="minorHAnsi"/>
        </w:rPr>
      </w:pPr>
      <w:r w:rsidRPr="003114B5">
        <w:rPr>
          <w:rFonts w:cstheme="minorHAnsi"/>
        </w:rPr>
        <w:t xml:space="preserve">A major step in identifying HCV infected individuals in Georgia has already been implemented by providing rapid anti-HCV testing for PWID at HRS.  However, access to HCV viremia testing remains limited as PWID must be referred to treatment </w:t>
      </w:r>
      <w:proofErr w:type="spellStart"/>
      <w:r w:rsidRPr="003114B5">
        <w:rPr>
          <w:rFonts w:cstheme="minorHAnsi"/>
        </w:rPr>
        <w:t>centres</w:t>
      </w:r>
      <w:proofErr w:type="spellEnd"/>
      <w:r w:rsidRPr="003114B5">
        <w:rPr>
          <w:rFonts w:cstheme="minorHAnsi"/>
        </w:rPr>
        <w:t xml:space="preserve"> for testing and have to pay for the test. While transportation, time and cost are purported barriers to testing, no data exist regarding the magnitude of these barriers. Therefore, this study will compare three different approaches to testing and providing test results for HCV viremia among PWID who initially test anti-HCV-positive at an HRS. </w:t>
      </w:r>
    </w:p>
    <w:p w14:paraId="0A0EE080" w14:textId="77777777" w:rsidR="003114B5" w:rsidRPr="003114B5" w:rsidRDefault="003114B5" w:rsidP="003114B5">
      <w:pPr>
        <w:spacing w:before="120" w:after="0" w:line="300" w:lineRule="atLeast"/>
        <w:jc w:val="both"/>
        <w:rPr>
          <w:rFonts w:cstheme="minorHAnsi"/>
          <w:b/>
        </w:rPr>
      </w:pPr>
      <w:r w:rsidRPr="003114B5">
        <w:rPr>
          <w:rFonts w:cstheme="minorHAnsi"/>
        </w:rPr>
        <w:t xml:space="preserve">We hypothesize that improving access to viremia testing improves linkage to care and reduces loss to follow-up among those who screen anti-HCV-positive. </w:t>
      </w:r>
    </w:p>
    <w:p w14:paraId="77C747AB" w14:textId="77777777" w:rsidR="003114B5" w:rsidRPr="003114B5" w:rsidRDefault="003114B5" w:rsidP="003114B5">
      <w:pPr>
        <w:spacing w:before="120" w:after="0" w:line="300" w:lineRule="atLeast"/>
        <w:jc w:val="both"/>
        <w:rPr>
          <w:rFonts w:cstheme="minorHAnsi"/>
          <w:lang w:val="en-GB"/>
        </w:rPr>
      </w:pPr>
      <w:r w:rsidRPr="003114B5">
        <w:rPr>
          <w:rFonts w:cstheme="minorHAnsi"/>
        </w:rPr>
        <w:t xml:space="preserve">This study will evaluate two novel approaches to improve access to HCV viremia testing. Both approaches are “HRS-based” because HCV viremia testing will be initiated and test results will be provided at the HRSs. These approaches will be compared to the current standard of care (control) in which anti-HCV-positive individuals must travel to a HCV treatment </w:t>
      </w:r>
      <w:proofErr w:type="spellStart"/>
      <w:r w:rsidRPr="003114B5">
        <w:rPr>
          <w:rFonts w:cstheme="minorHAnsi"/>
        </w:rPr>
        <w:t>centre</w:t>
      </w:r>
      <w:proofErr w:type="spellEnd"/>
      <w:r w:rsidRPr="003114B5">
        <w:rPr>
          <w:rFonts w:cstheme="minorHAnsi"/>
        </w:rPr>
        <w:t xml:space="preserve"> for HCV </w:t>
      </w:r>
      <w:proofErr w:type="spellStart"/>
      <w:r w:rsidRPr="003114B5">
        <w:rPr>
          <w:rFonts w:cstheme="minorHAnsi"/>
        </w:rPr>
        <w:t>viremia</w:t>
      </w:r>
      <w:proofErr w:type="spellEnd"/>
      <w:r w:rsidRPr="003114B5">
        <w:rPr>
          <w:rFonts w:cstheme="minorHAnsi"/>
        </w:rPr>
        <w:t xml:space="preserve"> testing. T</w:t>
      </w:r>
      <w:r w:rsidRPr="003114B5">
        <w:rPr>
          <w:rFonts w:cstheme="minorHAnsi"/>
          <w:lang w:val="en-GB"/>
        </w:rPr>
        <w:t xml:space="preserve">he findings of this study will inform decisions on the use and scale-up of HRS-based HCV viremia testing as alternatives to the current standard of care. </w:t>
      </w:r>
    </w:p>
    <w:p w14:paraId="2BD7C983" w14:textId="33155BAA" w:rsidR="003114B5" w:rsidRPr="003114B5" w:rsidRDefault="003114B5" w:rsidP="003114B5">
      <w:pPr>
        <w:rPr>
          <w:rFonts w:cstheme="minorHAnsi"/>
        </w:rPr>
      </w:pPr>
      <w:r w:rsidRPr="003114B5">
        <w:rPr>
          <w:rFonts w:cstheme="minorHAnsi"/>
        </w:rPr>
        <w:t>Furthermore, the study will observe participants who enter into care, overall and by study arm at each point in the care cascade. Since the proportion of PWID advancing to each stage of the HCV care cascade in Georgia is currently unknown, this study will measure these proportions (Primary Objective 1.1). Likewise, the lack of prior cascade data precluded estimation of sample sizes required to address the secondary objectives. Regardless of whether the study has sufficient power to test all of the secondary objectives, the point estimates obtained overall and by study arm will be informative and will be useful for planning future studies. Figure 1 shows the HCV care cascade and the various points along the cascade that will be addressed by the study</w:t>
      </w:r>
    </w:p>
    <w:p w14:paraId="74936AA1" w14:textId="47B03FBC" w:rsidR="003114B5" w:rsidRPr="003114B5" w:rsidRDefault="003114B5">
      <w:pPr>
        <w:rPr>
          <w:rFonts w:cstheme="minorHAnsi"/>
        </w:rPr>
      </w:pPr>
    </w:p>
    <w:p w14:paraId="41932B5F" w14:textId="0D063D84" w:rsidR="003114B5" w:rsidRPr="003114B5" w:rsidRDefault="003114B5" w:rsidP="003114B5">
      <w:pPr>
        <w:rPr>
          <w:rFonts w:cstheme="minorHAnsi"/>
        </w:rPr>
      </w:pPr>
      <w:r w:rsidRPr="003114B5">
        <w:rPr>
          <w:rFonts w:cstheme="minorHAnsi"/>
        </w:rPr>
        <w:t>The name of the study is Feasibility, acceptability, effectiveness and cost-analysis of models of HCV viremia testing for confirmation and cure among people who inject drugs in Georgia</w:t>
      </w:r>
    </w:p>
    <w:p w14:paraId="122945FD" w14:textId="2BC56B88" w:rsidR="003114B5" w:rsidRPr="003114B5" w:rsidRDefault="003114B5">
      <w:pPr>
        <w:rPr>
          <w:rFonts w:cstheme="minorHAnsi"/>
        </w:rPr>
      </w:pPr>
      <w:r w:rsidRPr="003114B5">
        <w:rPr>
          <w:rFonts w:cstheme="minorHAnsi"/>
        </w:rPr>
        <w:t xml:space="preserve">The study will be nested in the project. </w:t>
      </w:r>
    </w:p>
    <w:p w14:paraId="3A662C30" w14:textId="77777777" w:rsidR="003114B5" w:rsidRPr="003253F4" w:rsidRDefault="003114B5" w:rsidP="003253F4">
      <w:pPr>
        <w:spacing w:before="120" w:after="0" w:line="300" w:lineRule="atLeast"/>
        <w:jc w:val="both"/>
        <w:rPr>
          <w:rFonts w:cstheme="minorHAnsi"/>
          <w:b/>
        </w:rPr>
      </w:pPr>
      <w:r w:rsidRPr="003253F4">
        <w:rPr>
          <w:rFonts w:cstheme="minorHAnsi"/>
          <w:b/>
        </w:rPr>
        <w:t>Primary objectives:</w:t>
      </w:r>
    </w:p>
    <w:p w14:paraId="7CB9FA3C" w14:textId="1E8E337B" w:rsidR="003114B5" w:rsidRPr="003114B5" w:rsidRDefault="003114B5" w:rsidP="003114B5">
      <w:pPr>
        <w:pStyle w:val="Heading4"/>
        <w:numPr>
          <w:ilvl w:val="0"/>
          <w:numId w:val="3"/>
        </w:numPr>
        <w:spacing w:before="120" w:line="300" w:lineRule="atLeast"/>
        <w:jc w:val="both"/>
        <w:rPr>
          <w:rFonts w:asciiTheme="minorHAnsi" w:hAnsiTheme="minorHAnsi" w:cstheme="minorHAnsi"/>
          <w:sz w:val="22"/>
          <w:szCs w:val="22"/>
        </w:rPr>
      </w:pPr>
      <w:r w:rsidRPr="003114B5">
        <w:rPr>
          <w:rFonts w:asciiTheme="minorHAnsi" w:hAnsiTheme="minorHAnsi" w:cstheme="minorHAnsi"/>
          <w:sz w:val="22"/>
          <w:szCs w:val="22"/>
        </w:rPr>
        <w:lastRenderedPageBreak/>
        <w:t xml:space="preserve">To characterize the HCV care cascade for PWID identified through HRSs in Georgia, and quantify the proportion that go through each step in the cascade. </w:t>
      </w:r>
    </w:p>
    <w:p w14:paraId="05C1D6F9" w14:textId="77777777" w:rsidR="003114B5" w:rsidRPr="003114B5" w:rsidRDefault="003114B5" w:rsidP="003114B5">
      <w:pPr>
        <w:pStyle w:val="Heading4"/>
        <w:numPr>
          <w:ilvl w:val="0"/>
          <w:numId w:val="3"/>
        </w:numPr>
        <w:spacing w:before="120" w:line="300" w:lineRule="atLeast"/>
        <w:jc w:val="both"/>
        <w:rPr>
          <w:rFonts w:asciiTheme="minorHAnsi" w:hAnsiTheme="minorHAnsi" w:cstheme="minorHAnsi"/>
          <w:sz w:val="22"/>
          <w:szCs w:val="22"/>
        </w:rPr>
      </w:pPr>
      <w:r w:rsidRPr="003114B5">
        <w:rPr>
          <w:rFonts w:asciiTheme="minorHAnsi" w:hAnsiTheme="minorHAnsi" w:cstheme="minorHAnsi"/>
          <w:sz w:val="22"/>
          <w:szCs w:val="22"/>
        </w:rPr>
        <w:t xml:space="preserve">To determine whether the proportion of participants who receive results of HCV viremia testing differs between HRS-based testing (either decentralized HCV RNA testing, or centralized </w:t>
      </w:r>
      <w:proofErr w:type="spellStart"/>
      <w:r w:rsidRPr="003114B5">
        <w:rPr>
          <w:rFonts w:asciiTheme="minorHAnsi" w:hAnsiTheme="minorHAnsi" w:cstheme="minorHAnsi"/>
          <w:sz w:val="22"/>
          <w:szCs w:val="22"/>
        </w:rPr>
        <w:t>HCVcAg</w:t>
      </w:r>
      <w:proofErr w:type="spellEnd"/>
      <w:r w:rsidRPr="003114B5">
        <w:rPr>
          <w:rFonts w:asciiTheme="minorHAnsi" w:hAnsiTheme="minorHAnsi" w:cstheme="minorHAnsi"/>
          <w:sz w:val="22"/>
          <w:szCs w:val="22"/>
        </w:rPr>
        <w:t xml:space="preserve"> testing) and referral-based testing [standard of care (SOC)] among PWID who test anti-HCV-positive at an HRS.</w:t>
      </w:r>
    </w:p>
    <w:p w14:paraId="777FEB34" w14:textId="77777777" w:rsidR="003114B5" w:rsidRPr="003253F4" w:rsidRDefault="003114B5" w:rsidP="003253F4">
      <w:pPr>
        <w:spacing w:before="120" w:after="0" w:line="300" w:lineRule="atLeast"/>
        <w:jc w:val="both"/>
        <w:rPr>
          <w:rFonts w:cstheme="minorHAnsi"/>
          <w:b/>
        </w:rPr>
      </w:pPr>
      <w:r w:rsidRPr="003253F4">
        <w:rPr>
          <w:rFonts w:cstheme="minorHAnsi"/>
          <w:b/>
        </w:rPr>
        <w:t>Secondary objectives:</w:t>
      </w:r>
    </w:p>
    <w:p w14:paraId="016F2946" w14:textId="77777777" w:rsidR="003114B5" w:rsidRPr="003114B5" w:rsidRDefault="003114B5" w:rsidP="003114B5">
      <w:pPr>
        <w:pStyle w:val="ListParagraph"/>
        <w:numPr>
          <w:ilvl w:val="0"/>
          <w:numId w:val="4"/>
        </w:numPr>
        <w:spacing w:before="120" w:after="0" w:line="300" w:lineRule="atLeast"/>
        <w:jc w:val="both"/>
        <w:rPr>
          <w:rFonts w:asciiTheme="minorHAnsi" w:hAnsiTheme="minorHAnsi" w:cstheme="minorHAnsi"/>
          <w:sz w:val="22"/>
        </w:rPr>
      </w:pPr>
      <w:r w:rsidRPr="003114B5">
        <w:rPr>
          <w:rFonts w:asciiTheme="minorHAnsi" w:hAnsiTheme="minorHAnsi" w:cstheme="minorHAnsi"/>
          <w:sz w:val="22"/>
        </w:rPr>
        <w:t>To determine whether the proportion of anti-HCV positive PWID who agree to HCV viremia testing differs by testing approach.</w:t>
      </w:r>
    </w:p>
    <w:p w14:paraId="208F0DD1" w14:textId="77777777" w:rsidR="003114B5" w:rsidRPr="003114B5" w:rsidRDefault="003114B5" w:rsidP="003114B5">
      <w:pPr>
        <w:pStyle w:val="ListParagraph"/>
        <w:numPr>
          <w:ilvl w:val="0"/>
          <w:numId w:val="4"/>
        </w:numPr>
        <w:spacing w:before="120" w:after="0" w:line="300" w:lineRule="atLeast"/>
        <w:jc w:val="both"/>
        <w:rPr>
          <w:rFonts w:asciiTheme="minorHAnsi" w:hAnsiTheme="minorHAnsi" w:cstheme="minorHAnsi"/>
          <w:sz w:val="22"/>
        </w:rPr>
      </w:pPr>
      <w:r w:rsidRPr="003114B5">
        <w:rPr>
          <w:rFonts w:asciiTheme="minorHAnsi" w:hAnsiTheme="minorHAnsi" w:cstheme="minorHAnsi"/>
          <w:sz w:val="22"/>
        </w:rPr>
        <w:t>To determine the proportion of participants diagnosed with active HCV disease who initiate HCV treatment.</w:t>
      </w:r>
    </w:p>
    <w:p w14:paraId="2B11C4EC" w14:textId="77777777" w:rsidR="003114B5" w:rsidRPr="003114B5" w:rsidRDefault="003114B5" w:rsidP="003114B5">
      <w:pPr>
        <w:pStyle w:val="ListParagraph"/>
        <w:numPr>
          <w:ilvl w:val="0"/>
          <w:numId w:val="4"/>
        </w:numPr>
        <w:spacing w:before="120" w:after="0" w:line="300" w:lineRule="atLeast"/>
        <w:jc w:val="both"/>
        <w:rPr>
          <w:rFonts w:asciiTheme="minorHAnsi" w:hAnsiTheme="minorHAnsi" w:cstheme="minorHAnsi"/>
          <w:sz w:val="22"/>
        </w:rPr>
      </w:pPr>
      <w:r w:rsidRPr="003114B5">
        <w:rPr>
          <w:rFonts w:asciiTheme="minorHAnsi" w:hAnsiTheme="minorHAnsi" w:cstheme="minorHAnsi"/>
          <w:sz w:val="22"/>
        </w:rPr>
        <w:t xml:space="preserve">To determine whether the proportion of participants who receive results of HCV viremia testing differs between the two HRS-based testing (decentralized HCV RNA vs centralized </w:t>
      </w:r>
      <w:proofErr w:type="spellStart"/>
      <w:r w:rsidRPr="003114B5">
        <w:rPr>
          <w:rFonts w:asciiTheme="minorHAnsi" w:hAnsiTheme="minorHAnsi" w:cstheme="minorHAnsi"/>
          <w:sz w:val="22"/>
        </w:rPr>
        <w:t>HCVcAg</w:t>
      </w:r>
      <w:proofErr w:type="spellEnd"/>
      <w:r w:rsidRPr="003114B5">
        <w:rPr>
          <w:rFonts w:asciiTheme="minorHAnsi" w:hAnsiTheme="minorHAnsi" w:cstheme="minorHAnsi"/>
          <w:sz w:val="22"/>
        </w:rPr>
        <w:t xml:space="preserve"> testing) among PWID who test anti-HCV positive at an HRS.</w:t>
      </w:r>
    </w:p>
    <w:p w14:paraId="63BC6757" w14:textId="77777777" w:rsidR="003114B5" w:rsidRPr="003114B5" w:rsidRDefault="003114B5" w:rsidP="003114B5">
      <w:pPr>
        <w:pStyle w:val="ListParagraph"/>
        <w:numPr>
          <w:ilvl w:val="0"/>
          <w:numId w:val="4"/>
        </w:numPr>
        <w:spacing w:before="120" w:after="0" w:line="300" w:lineRule="atLeast"/>
        <w:jc w:val="both"/>
        <w:rPr>
          <w:rFonts w:asciiTheme="minorHAnsi" w:hAnsiTheme="minorHAnsi" w:cstheme="minorHAnsi"/>
          <w:sz w:val="22"/>
        </w:rPr>
      </w:pPr>
      <w:r w:rsidRPr="003114B5">
        <w:rPr>
          <w:rFonts w:asciiTheme="minorHAnsi" w:hAnsiTheme="minorHAnsi" w:cstheme="minorHAnsi"/>
          <w:sz w:val="22"/>
        </w:rPr>
        <w:t xml:space="preserve">To estimate and compare costs of HCV viremia testing approaches (either decentralized HCV RNA testing or centralized </w:t>
      </w:r>
      <w:proofErr w:type="spellStart"/>
      <w:r w:rsidRPr="003114B5">
        <w:rPr>
          <w:rFonts w:asciiTheme="minorHAnsi" w:hAnsiTheme="minorHAnsi" w:cstheme="minorHAnsi"/>
          <w:sz w:val="22"/>
        </w:rPr>
        <w:t>HCVcAg</w:t>
      </w:r>
      <w:proofErr w:type="spellEnd"/>
      <w:r w:rsidRPr="003114B5">
        <w:rPr>
          <w:rFonts w:asciiTheme="minorHAnsi" w:hAnsiTheme="minorHAnsi" w:cstheme="minorHAnsi"/>
          <w:sz w:val="22"/>
        </w:rPr>
        <w:t xml:space="preserve"> testing versus referral-based approach and decentralized HCV RNA testing versus centralized </w:t>
      </w:r>
      <w:proofErr w:type="spellStart"/>
      <w:r w:rsidRPr="003114B5">
        <w:rPr>
          <w:rFonts w:asciiTheme="minorHAnsi" w:hAnsiTheme="minorHAnsi" w:cstheme="minorHAnsi"/>
          <w:sz w:val="22"/>
        </w:rPr>
        <w:t>HCVcAg</w:t>
      </w:r>
      <w:proofErr w:type="spellEnd"/>
      <w:r w:rsidRPr="003114B5">
        <w:rPr>
          <w:rFonts w:asciiTheme="minorHAnsi" w:hAnsiTheme="minorHAnsi" w:cstheme="minorHAnsi"/>
          <w:sz w:val="22"/>
        </w:rPr>
        <w:t xml:space="preserve"> testing).</w:t>
      </w:r>
    </w:p>
    <w:p w14:paraId="4DD54F61" w14:textId="77777777" w:rsidR="003114B5" w:rsidRPr="003114B5" w:rsidRDefault="003114B5" w:rsidP="003114B5">
      <w:pPr>
        <w:pStyle w:val="ListParagraph"/>
        <w:numPr>
          <w:ilvl w:val="0"/>
          <w:numId w:val="4"/>
        </w:numPr>
        <w:spacing w:before="120" w:after="0" w:line="300" w:lineRule="atLeast"/>
        <w:jc w:val="both"/>
        <w:rPr>
          <w:rFonts w:asciiTheme="minorHAnsi" w:hAnsiTheme="minorHAnsi" w:cstheme="minorHAnsi"/>
          <w:sz w:val="22"/>
        </w:rPr>
      </w:pPr>
      <w:r w:rsidRPr="003114B5">
        <w:rPr>
          <w:rFonts w:asciiTheme="minorHAnsi" w:hAnsiTheme="minorHAnsi" w:cstheme="minorHAnsi"/>
          <w:sz w:val="22"/>
        </w:rPr>
        <w:t xml:space="preserve">To assess the feasibility of HCV viremia testing approaches by examining process, logistics and site capacity to provide the test </w:t>
      </w:r>
    </w:p>
    <w:p w14:paraId="0B532B6F" w14:textId="77777777" w:rsidR="003114B5" w:rsidRPr="003114B5" w:rsidRDefault="003114B5" w:rsidP="003114B5">
      <w:pPr>
        <w:pStyle w:val="ListParagraph"/>
        <w:numPr>
          <w:ilvl w:val="0"/>
          <w:numId w:val="4"/>
        </w:numPr>
        <w:spacing w:before="120" w:after="0" w:line="300" w:lineRule="atLeast"/>
        <w:jc w:val="both"/>
        <w:rPr>
          <w:rFonts w:asciiTheme="minorHAnsi" w:hAnsiTheme="minorHAnsi" w:cstheme="minorHAnsi"/>
          <w:sz w:val="22"/>
        </w:rPr>
      </w:pPr>
      <w:r w:rsidRPr="003114B5">
        <w:rPr>
          <w:rFonts w:asciiTheme="minorHAnsi" w:hAnsiTheme="minorHAnsi" w:cstheme="minorHAnsi"/>
          <w:sz w:val="22"/>
        </w:rPr>
        <w:t>To evaluate the acceptability of HCV viremia testing approaches among health care workers and PWID.</w:t>
      </w:r>
    </w:p>
    <w:p w14:paraId="6A25777F" w14:textId="5A9B2530" w:rsidR="003114B5" w:rsidRPr="003114B5" w:rsidRDefault="003114B5" w:rsidP="003114B5">
      <w:pPr>
        <w:rPr>
          <w:rFonts w:cstheme="minorHAnsi"/>
        </w:rPr>
      </w:pPr>
      <w:r w:rsidRPr="003114B5">
        <w:rPr>
          <w:rFonts w:cstheme="minorHAnsi"/>
        </w:rPr>
        <w:t>To evaluate the impact of out-of-pocket costs on patient willingness to get HCV viremia testing at an HRS among anti-HCV-positive PWID.</w:t>
      </w:r>
    </w:p>
    <w:p w14:paraId="0CEE91DC" w14:textId="375E5C38" w:rsidR="003114B5" w:rsidRPr="003114B5" w:rsidRDefault="003114B5" w:rsidP="003114B5">
      <w:pPr>
        <w:rPr>
          <w:rFonts w:cstheme="minorHAnsi"/>
          <w:lang w:val="en-IN"/>
        </w:rPr>
      </w:pPr>
    </w:p>
    <w:p w14:paraId="3A04AC22" w14:textId="495C28CD" w:rsidR="003114B5" w:rsidRPr="003114B5" w:rsidRDefault="003114B5" w:rsidP="003114B5">
      <w:pPr>
        <w:rPr>
          <w:rFonts w:cstheme="minorHAnsi"/>
        </w:rPr>
      </w:pPr>
      <w:r w:rsidRPr="003114B5">
        <w:rPr>
          <w:rFonts w:cstheme="minorHAnsi"/>
        </w:rPr>
        <w:t>Study design - A non-</w:t>
      </w:r>
      <w:proofErr w:type="spellStart"/>
      <w:r w:rsidRPr="003114B5">
        <w:rPr>
          <w:rFonts w:cstheme="minorHAnsi"/>
        </w:rPr>
        <w:t>randomised</w:t>
      </w:r>
      <w:proofErr w:type="spellEnd"/>
      <w:r w:rsidRPr="003114B5">
        <w:rPr>
          <w:rFonts w:cstheme="minorHAnsi"/>
        </w:rPr>
        <w:t xml:space="preserve"> interventional study at eight Harm Reduction Sites (HRSs) in Georgia.</w:t>
      </w:r>
    </w:p>
    <w:p w14:paraId="5442A7F7" w14:textId="77777777" w:rsidR="003114B5" w:rsidRPr="003114B5" w:rsidRDefault="003114B5" w:rsidP="003114B5">
      <w:pPr>
        <w:spacing w:before="120" w:after="0" w:line="300" w:lineRule="atLeast"/>
        <w:rPr>
          <w:rFonts w:cstheme="minorHAnsi"/>
        </w:rPr>
      </w:pPr>
      <w:r w:rsidRPr="003114B5">
        <w:rPr>
          <w:rFonts w:cstheme="minorHAnsi"/>
        </w:rPr>
        <w:t>Six HRSs will provide HCV viremia testing on-site using one of two approaches as follows:</w:t>
      </w:r>
    </w:p>
    <w:p w14:paraId="1C329084" w14:textId="77777777" w:rsidR="003114B5" w:rsidRPr="003114B5" w:rsidRDefault="003114B5" w:rsidP="003114B5">
      <w:pPr>
        <w:pStyle w:val="ListParagraph"/>
        <w:numPr>
          <w:ilvl w:val="0"/>
          <w:numId w:val="5"/>
        </w:numPr>
        <w:spacing w:before="120" w:after="0" w:line="300" w:lineRule="atLeast"/>
        <w:rPr>
          <w:rFonts w:asciiTheme="minorHAnsi" w:hAnsiTheme="minorHAnsi" w:cstheme="minorHAnsi"/>
          <w:bCs w:val="0"/>
          <w:color w:val="auto"/>
          <w:sz w:val="22"/>
        </w:rPr>
      </w:pPr>
      <w:r w:rsidRPr="003114B5">
        <w:rPr>
          <w:rFonts w:asciiTheme="minorHAnsi" w:hAnsiTheme="minorHAnsi" w:cstheme="minorHAnsi"/>
          <w:sz w:val="22"/>
        </w:rPr>
        <w:t xml:space="preserve">Arm 1 (Intervention A): 4 sites will conduct blood draw and point-of-service (decentralized) HCV RNA testing, and results will be provided at the HRS on the same or the following day. </w:t>
      </w:r>
    </w:p>
    <w:p w14:paraId="5ADECD00" w14:textId="77777777" w:rsidR="003114B5" w:rsidRPr="003114B5" w:rsidRDefault="003114B5" w:rsidP="003114B5">
      <w:pPr>
        <w:pStyle w:val="ListParagraph"/>
        <w:numPr>
          <w:ilvl w:val="0"/>
          <w:numId w:val="5"/>
        </w:numPr>
        <w:spacing w:before="120" w:after="0" w:line="300" w:lineRule="atLeast"/>
        <w:rPr>
          <w:rFonts w:asciiTheme="minorHAnsi" w:hAnsiTheme="minorHAnsi" w:cstheme="minorHAnsi"/>
          <w:bCs w:val="0"/>
          <w:color w:val="auto"/>
          <w:sz w:val="22"/>
        </w:rPr>
      </w:pPr>
      <w:r w:rsidRPr="003114B5">
        <w:rPr>
          <w:rFonts w:asciiTheme="minorHAnsi" w:hAnsiTheme="minorHAnsi" w:cstheme="minorHAnsi"/>
          <w:sz w:val="22"/>
        </w:rPr>
        <w:t xml:space="preserve">Arm 2 (Intervention B): 2 sites will collect blood samples on site and transport them to a reference (centralized) laboratory (Lugar Centre) for </w:t>
      </w:r>
      <w:proofErr w:type="spellStart"/>
      <w:r w:rsidRPr="003114B5">
        <w:rPr>
          <w:rFonts w:asciiTheme="minorHAnsi" w:hAnsiTheme="minorHAnsi" w:cstheme="minorHAnsi"/>
          <w:sz w:val="22"/>
        </w:rPr>
        <w:t>HCVcAg</w:t>
      </w:r>
      <w:proofErr w:type="spellEnd"/>
      <w:r w:rsidRPr="003114B5">
        <w:rPr>
          <w:rFonts w:asciiTheme="minorHAnsi" w:hAnsiTheme="minorHAnsi" w:cstheme="minorHAnsi"/>
          <w:sz w:val="22"/>
        </w:rPr>
        <w:t xml:space="preserve"> testing. Results will be provided at a follow-up visit to the HRS as soon as results are available.</w:t>
      </w:r>
    </w:p>
    <w:p w14:paraId="306B69EB" w14:textId="77777777" w:rsidR="003114B5" w:rsidRPr="003114B5" w:rsidRDefault="003114B5" w:rsidP="003114B5">
      <w:pPr>
        <w:spacing w:before="120" w:after="0" w:line="300" w:lineRule="atLeast"/>
        <w:ind w:left="72"/>
        <w:rPr>
          <w:rFonts w:cstheme="minorHAnsi"/>
        </w:rPr>
      </w:pPr>
      <w:r w:rsidRPr="003114B5">
        <w:rPr>
          <w:rFonts w:cstheme="minorHAnsi"/>
        </w:rPr>
        <w:t>Two HRSs will refer patients off-site for testing (current standard of care):</w:t>
      </w:r>
    </w:p>
    <w:p w14:paraId="23CB2BF2" w14:textId="77777777" w:rsidR="003114B5" w:rsidRPr="003114B5" w:rsidRDefault="003114B5" w:rsidP="003114B5">
      <w:pPr>
        <w:pStyle w:val="ListParagraph"/>
        <w:numPr>
          <w:ilvl w:val="0"/>
          <w:numId w:val="5"/>
        </w:numPr>
        <w:spacing w:before="120" w:after="0" w:line="300" w:lineRule="atLeast"/>
        <w:rPr>
          <w:rFonts w:asciiTheme="minorHAnsi" w:hAnsiTheme="minorHAnsi" w:cstheme="minorHAnsi"/>
          <w:sz w:val="22"/>
        </w:rPr>
      </w:pPr>
      <w:r w:rsidRPr="003114B5">
        <w:rPr>
          <w:rFonts w:asciiTheme="minorHAnsi" w:hAnsiTheme="minorHAnsi" w:cstheme="minorHAnsi"/>
          <w:sz w:val="22"/>
        </w:rPr>
        <w:t xml:space="preserve">Arm 3 (Control): anti-HCV positive patients will be referred to HCV treatment centres for HCV RNA testing, and results will be provided at a follow-up visit to the treatment centre.  </w:t>
      </w:r>
    </w:p>
    <w:p w14:paraId="40FCDAD4" w14:textId="74035040" w:rsidR="003114B5" w:rsidRPr="003114B5" w:rsidRDefault="003114B5" w:rsidP="003114B5">
      <w:pPr>
        <w:rPr>
          <w:rFonts w:cstheme="minorHAnsi"/>
          <w:lang w:val="en-IN"/>
        </w:rPr>
      </w:pPr>
    </w:p>
    <w:p w14:paraId="3E2A8EE0" w14:textId="5059C854" w:rsidR="003114B5" w:rsidRPr="003114B5" w:rsidRDefault="003114B5" w:rsidP="003114B5">
      <w:pPr>
        <w:rPr>
          <w:rFonts w:cstheme="minorHAnsi"/>
        </w:rPr>
      </w:pPr>
      <w:r w:rsidRPr="003114B5">
        <w:rPr>
          <w:rFonts w:cstheme="minorHAnsi"/>
        </w:rPr>
        <w:t xml:space="preserve">Study sites: Eight HRSs in cities in Georgia with high prevalence of HCV and within 60kms from an HCV treatment </w:t>
      </w:r>
      <w:proofErr w:type="spellStart"/>
      <w:r w:rsidRPr="003114B5">
        <w:rPr>
          <w:rFonts w:cstheme="minorHAnsi"/>
        </w:rPr>
        <w:t>centre</w:t>
      </w:r>
      <w:proofErr w:type="spellEnd"/>
      <w:r w:rsidRPr="003114B5">
        <w:rPr>
          <w:rFonts w:cstheme="minorHAnsi"/>
        </w:rPr>
        <w:t>.</w:t>
      </w:r>
    </w:p>
    <w:p w14:paraId="2D918EDE" w14:textId="10CCC359" w:rsidR="003114B5" w:rsidRPr="003114B5" w:rsidRDefault="003114B5" w:rsidP="003114B5">
      <w:pPr>
        <w:rPr>
          <w:rFonts w:cstheme="minorHAnsi"/>
        </w:rPr>
      </w:pPr>
      <w:r w:rsidRPr="003114B5">
        <w:rPr>
          <w:rFonts w:cstheme="minorHAnsi"/>
        </w:rPr>
        <w:t xml:space="preserve">Study population: </w:t>
      </w:r>
    </w:p>
    <w:p w14:paraId="25D8EC9B" w14:textId="77777777" w:rsidR="003114B5" w:rsidRPr="003114B5" w:rsidRDefault="003114B5" w:rsidP="003114B5">
      <w:pPr>
        <w:pStyle w:val="ListParagraph"/>
        <w:numPr>
          <w:ilvl w:val="0"/>
          <w:numId w:val="6"/>
        </w:numPr>
        <w:spacing w:before="120" w:after="0" w:line="300" w:lineRule="atLeast"/>
        <w:jc w:val="both"/>
        <w:rPr>
          <w:rFonts w:asciiTheme="minorHAnsi" w:hAnsiTheme="minorHAnsi" w:cstheme="minorHAnsi"/>
          <w:sz w:val="22"/>
          <w:lang w:val="en-GB" w:eastAsia="ja-JP"/>
        </w:rPr>
      </w:pPr>
      <w:r w:rsidRPr="003114B5">
        <w:rPr>
          <w:rFonts w:asciiTheme="minorHAnsi" w:hAnsiTheme="minorHAnsi" w:cstheme="minorHAnsi"/>
          <w:sz w:val="22"/>
        </w:rPr>
        <w:lastRenderedPageBreak/>
        <w:t>PWID attending HRS for care and/or needle provision</w:t>
      </w:r>
      <w:r w:rsidRPr="003114B5">
        <w:rPr>
          <w:rFonts w:asciiTheme="minorHAnsi" w:hAnsiTheme="minorHAnsi" w:cstheme="minorHAnsi"/>
          <w:sz w:val="22"/>
          <w:lang w:val="en-GB"/>
        </w:rPr>
        <w:t xml:space="preserve">. </w:t>
      </w:r>
    </w:p>
    <w:p w14:paraId="0DF9AD9C" w14:textId="77777777" w:rsidR="003114B5" w:rsidRPr="003114B5" w:rsidRDefault="003114B5" w:rsidP="003114B5">
      <w:pPr>
        <w:pStyle w:val="ListParagraph"/>
        <w:numPr>
          <w:ilvl w:val="0"/>
          <w:numId w:val="6"/>
        </w:numPr>
        <w:spacing w:before="120" w:after="0" w:line="300" w:lineRule="atLeast"/>
        <w:jc w:val="both"/>
        <w:rPr>
          <w:rFonts w:asciiTheme="minorHAnsi" w:hAnsiTheme="minorHAnsi" w:cstheme="minorHAnsi"/>
          <w:sz w:val="22"/>
        </w:rPr>
      </w:pPr>
      <w:r w:rsidRPr="003114B5">
        <w:rPr>
          <w:rFonts w:asciiTheme="minorHAnsi" w:hAnsiTheme="minorHAnsi" w:cstheme="minorHAnsi"/>
          <w:sz w:val="22"/>
          <w:lang w:val="en-GB"/>
        </w:rPr>
        <w:t>HRS staff involved</w:t>
      </w:r>
      <w:r w:rsidRPr="003114B5">
        <w:rPr>
          <w:rFonts w:asciiTheme="minorHAnsi" w:hAnsiTheme="minorHAnsi" w:cstheme="minorHAnsi"/>
          <w:sz w:val="22"/>
          <w:lang w:val="en-GB" w:eastAsia="ja-JP"/>
        </w:rPr>
        <w:t xml:space="preserve"> in HCV testing and care</w:t>
      </w:r>
      <w:r w:rsidRPr="003114B5">
        <w:rPr>
          <w:rFonts w:asciiTheme="minorHAnsi" w:hAnsiTheme="minorHAnsi" w:cstheme="minorHAnsi"/>
          <w:sz w:val="22"/>
          <w:lang w:val="en-GB"/>
        </w:rPr>
        <w:t xml:space="preserve">. </w:t>
      </w:r>
    </w:p>
    <w:p w14:paraId="02EECB94" w14:textId="3E85EF19" w:rsidR="003114B5" w:rsidRPr="003114B5" w:rsidRDefault="003114B5" w:rsidP="003114B5">
      <w:pPr>
        <w:rPr>
          <w:rFonts w:cstheme="minorHAnsi"/>
        </w:rPr>
      </w:pPr>
      <w:r w:rsidRPr="003114B5">
        <w:rPr>
          <w:rFonts w:cstheme="minorHAnsi"/>
          <w:lang w:val="en-GB"/>
        </w:rPr>
        <w:t>Laboratory staff performing HCV viremia testing at HRSs, Lugar Centre and Treatment Centres.</w:t>
      </w:r>
    </w:p>
    <w:p w14:paraId="3219E0FC" w14:textId="77FB12EF" w:rsidR="003114B5" w:rsidRPr="003114B5" w:rsidRDefault="003114B5" w:rsidP="003114B5">
      <w:pPr>
        <w:rPr>
          <w:rFonts w:cstheme="minorHAnsi"/>
        </w:rPr>
      </w:pPr>
    </w:p>
    <w:p w14:paraId="76124B97" w14:textId="1F6725C5" w:rsidR="003114B5" w:rsidRPr="003114B5" w:rsidRDefault="003114B5" w:rsidP="003114B5">
      <w:pPr>
        <w:rPr>
          <w:rFonts w:cstheme="minorHAnsi"/>
        </w:rPr>
      </w:pPr>
      <w:r w:rsidRPr="003114B5">
        <w:rPr>
          <w:rFonts w:cstheme="minorHAnsi"/>
        </w:rPr>
        <w:t xml:space="preserve">Eligibility criteria: </w:t>
      </w:r>
    </w:p>
    <w:p w14:paraId="44A0C639" w14:textId="77777777" w:rsidR="003114B5" w:rsidRPr="003114B5" w:rsidRDefault="003114B5" w:rsidP="003114B5">
      <w:pPr>
        <w:pStyle w:val="ListParagraph"/>
        <w:numPr>
          <w:ilvl w:val="0"/>
          <w:numId w:val="7"/>
        </w:numPr>
        <w:spacing w:before="120" w:after="0" w:line="300" w:lineRule="atLeast"/>
        <w:rPr>
          <w:rFonts w:asciiTheme="minorHAnsi" w:hAnsiTheme="minorHAnsi" w:cstheme="minorHAnsi"/>
          <w:i/>
          <w:sz w:val="22"/>
        </w:rPr>
      </w:pPr>
      <w:r w:rsidRPr="003114B5">
        <w:rPr>
          <w:rFonts w:asciiTheme="minorHAnsi" w:hAnsiTheme="minorHAnsi" w:cstheme="minorHAnsi"/>
          <w:sz w:val="22"/>
        </w:rPr>
        <w:t xml:space="preserve">PWID attending HRS for care and/or needle provision </w:t>
      </w:r>
    </w:p>
    <w:p w14:paraId="66E15C96" w14:textId="77777777" w:rsidR="003114B5" w:rsidRPr="003114B5" w:rsidRDefault="003114B5" w:rsidP="003114B5">
      <w:pPr>
        <w:spacing w:before="120" w:after="0" w:line="300" w:lineRule="atLeast"/>
        <w:rPr>
          <w:rFonts w:cstheme="minorHAnsi"/>
          <w:i/>
        </w:rPr>
      </w:pPr>
      <w:r w:rsidRPr="003114B5">
        <w:rPr>
          <w:rFonts w:cstheme="minorHAnsi"/>
          <w:i/>
        </w:rPr>
        <w:t>Inclusion criteria</w:t>
      </w:r>
    </w:p>
    <w:p w14:paraId="6EA9C533" w14:textId="77777777" w:rsidR="003114B5" w:rsidRPr="003114B5" w:rsidRDefault="003114B5" w:rsidP="003114B5">
      <w:pPr>
        <w:pStyle w:val="ListParagraph"/>
        <w:numPr>
          <w:ilvl w:val="0"/>
          <w:numId w:val="9"/>
        </w:numPr>
        <w:spacing w:before="120" w:after="0" w:line="300" w:lineRule="atLeast"/>
        <w:rPr>
          <w:rFonts w:asciiTheme="minorHAnsi" w:hAnsiTheme="minorHAnsi" w:cstheme="minorHAnsi"/>
          <w:sz w:val="22"/>
        </w:rPr>
      </w:pPr>
      <w:r w:rsidRPr="003114B5">
        <w:rPr>
          <w:rFonts w:asciiTheme="minorHAnsi" w:hAnsiTheme="minorHAnsi" w:cstheme="minorHAnsi"/>
          <w:sz w:val="22"/>
        </w:rPr>
        <w:t xml:space="preserve">Any history of injection drug use (IDU) </w:t>
      </w:r>
    </w:p>
    <w:p w14:paraId="01FF2626" w14:textId="77777777" w:rsidR="003114B5" w:rsidRPr="003114B5" w:rsidRDefault="003114B5" w:rsidP="003114B5">
      <w:pPr>
        <w:pStyle w:val="ListParagraph"/>
        <w:numPr>
          <w:ilvl w:val="0"/>
          <w:numId w:val="9"/>
        </w:numPr>
        <w:spacing w:before="120" w:after="0" w:line="300" w:lineRule="atLeast"/>
        <w:rPr>
          <w:rFonts w:asciiTheme="minorHAnsi" w:hAnsiTheme="minorHAnsi" w:cstheme="minorHAnsi"/>
          <w:sz w:val="22"/>
        </w:rPr>
      </w:pPr>
      <w:r w:rsidRPr="003114B5">
        <w:rPr>
          <w:rFonts w:asciiTheme="minorHAnsi" w:hAnsiTheme="minorHAnsi" w:cstheme="minorHAnsi"/>
          <w:sz w:val="22"/>
        </w:rPr>
        <w:t xml:space="preserve">Age ≥18 years </w:t>
      </w:r>
    </w:p>
    <w:p w14:paraId="34673395" w14:textId="77777777" w:rsidR="003114B5" w:rsidRPr="003114B5" w:rsidRDefault="003114B5" w:rsidP="003114B5">
      <w:pPr>
        <w:pStyle w:val="ListParagraph"/>
        <w:numPr>
          <w:ilvl w:val="0"/>
          <w:numId w:val="9"/>
        </w:numPr>
        <w:spacing w:before="120" w:after="0" w:line="300" w:lineRule="atLeast"/>
        <w:rPr>
          <w:rFonts w:asciiTheme="minorHAnsi" w:hAnsiTheme="minorHAnsi" w:cstheme="minorHAnsi"/>
          <w:sz w:val="22"/>
        </w:rPr>
      </w:pPr>
      <w:r w:rsidRPr="003114B5">
        <w:rPr>
          <w:rFonts w:asciiTheme="minorHAnsi" w:hAnsiTheme="minorHAnsi" w:cstheme="minorHAnsi"/>
          <w:sz w:val="22"/>
        </w:rPr>
        <w:t xml:space="preserve">Anti-HCV-positive on rapid diagnostic test (RDT) </w:t>
      </w:r>
    </w:p>
    <w:p w14:paraId="7632A24F" w14:textId="77777777" w:rsidR="003114B5" w:rsidRPr="003114B5" w:rsidRDefault="003114B5" w:rsidP="003114B5">
      <w:pPr>
        <w:pStyle w:val="ListParagraph"/>
        <w:numPr>
          <w:ilvl w:val="0"/>
          <w:numId w:val="9"/>
        </w:numPr>
        <w:spacing w:before="120" w:after="0" w:line="300" w:lineRule="atLeast"/>
        <w:rPr>
          <w:rFonts w:asciiTheme="minorHAnsi" w:hAnsiTheme="minorHAnsi" w:cstheme="minorHAnsi"/>
          <w:sz w:val="22"/>
        </w:rPr>
      </w:pPr>
      <w:r w:rsidRPr="003114B5">
        <w:rPr>
          <w:rFonts w:asciiTheme="minorHAnsi" w:hAnsiTheme="minorHAnsi" w:cstheme="minorHAnsi"/>
          <w:sz w:val="22"/>
        </w:rPr>
        <w:t>Eligible for the Georgia HCV State Program</w:t>
      </w:r>
    </w:p>
    <w:p w14:paraId="0F89B6F9" w14:textId="77777777" w:rsidR="003114B5" w:rsidRPr="003114B5" w:rsidRDefault="003114B5" w:rsidP="003114B5">
      <w:pPr>
        <w:pStyle w:val="ListParagraph"/>
        <w:numPr>
          <w:ilvl w:val="0"/>
          <w:numId w:val="10"/>
        </w:numPr>
        <w:spacing w:before="120" w:after="0" w:line="300" w:lineRule="atLeast"/>
        <w:rPr>
          <w:rFonts w:asciiTheme="minorHAnsi" w:hAnsiTheme="minorHAnsi" w:cstheme="minorHAnsi"/>
          <w:sz w:val="22"/>
        </w:rPr>
      </w:pPr>
      <w:r w:rsidRPr="003114B5">
        <w:rPr>
          <w:rFonts w:asciiTheme="minorHAnsi" w:hAnsiTheme="minorHAnsi" w:cstheme="minorHAnsi"/>
          <w:sz w:val="22"/>
        </w:rPr>
        <w:t>Living in the catchment area served by the HRS</w:t>
      </w:r>
    </w:p>
    <w:p w14:paraId="313D351E" w14:textId="77777777" w:rsidR="003114B5" w:rsidRPr="003114B5" w:rsidRDefault="003114B5" w:rsidP="003114B5">
      <w:pPr>
        <w:pStyle w:val="ListParagraph"/>
        <w:numPr>
          <w:ilvl w:val="0"/>
          <w:numId w:val="10"/>
        </w:numPr>
        <w:spacing w:before="120" w:after="0" w:line="300" w:lineRule="atLeast"/>
        <w:rPr>
          <w:rFonts w:asciiTheme="minorHAnsi" w:hAnsiTheme="minorHAnsi" w:cstheme="minorHAnsi"/>
          <w:sz w:val="22"/>
        </w:rPr>
      </w:pPr>
      <w:r w:rsidRPr="003114B5">
        <w:rPr>
          <w:rFonts w:asciiTheme="minorHAnsi" w:hAnsiTheme="minorHAnsi" w:cstheme="minorHAnsi"/>
          <w:sz w:val="22"/>
        </w:rPr>
        <w:t xml:space="preserve">No plans to move out of the catchment area within 6 months of enrolment into the study. </w:t>
      </w:r>
    </w:p>
    <w:p w14:paraId="142B7E64" w14:textId="77777777" w:rsidR="003114B5" w:rsidRPr="003114B5" w:rsidRDefault="003114B5" w:rsidP="003114B5">
      <w:pPr>
        <w:pStyle w:val="ListParagraph"/>
        <w:numPr>
          <w:ilvl w:val="0"/>
          <w:numId w:val="10"/>
        </w:numPr>
        <w:spacing w:before="120" w:after="0" w:line="300" w:lineRule="atLeast"/>
        <w:rPr>
          <w:rFonts w:asciiTheme="minorHAnsi" w:hAnsiTheme="minorHAnsi" w:cstheme="minorHAnsi"/>
          <w:sz w:val="22"/>
        </w:rPr>
      </w:pPr>
      <w:r w:rsidRPr="003114B5">
        <w:rPr>
          <w:rFonts w:asciiTheme="minorHAnsi" w:hAnsiTheme="minorHAnsi" w:cstheme="minorHAnsi"/>
          <w:sz w:val="22"/>
        </w:rPr>
        <w:t>Able and willing to give informed consent</w:t>
      </w:r>
    </w:p>
    <w:p w14:paraId="639C8889" w14:textId="77777777" w:rsidR="003114B5" w:rsidRPr="003114B5" w:rsidRDefault="003114B5" w:rsidP="003114B5">
      <w:pPr>
        <w:spacing w:before="120" w:after="0" w:line="300" w:lineRule="atLeast"/>
        <w:rPr>
          <w:rFonts w:cstheme="minorHAnsi"/>
          <w:i/>
        </w:rPr>
      </w:pPr>
      <w:bookmarkStart w:id="14" w:name="_Toc483908227"/>
      <w:bookmarkStart w:id="15" w:name="_Toc486839213"/>
      <w:r w:rsidRPr="003114B5">
        <w:rPr>
          <w:rFonts w:cstheme="minorHAnsi"/>
          <w:i/>
        </w:rPr>
        <w:t>Exclusion criteria</w:t>
      </w:r>
      <w:bookmarkEnd w:id="14"/>
      <w:bookmarkEnd w:id="15"/>
      <w:r w:rsidRPr="003114B5">
        <w:rPr>
          <w:rFonts w:cstheme="minorHAnsi"/>
          <w:i/>
        </w:rPr>
        <w:t xml:space="preserve"> </w:t>
      </w:r>
    </w:p>
    <w:p w14:paraId="072ED12E" w14:textId="77777777" w:rsidR="003114B5" w:rsidRPr="003114B5" w:rsidRDefault="003114B5" w:rsidP="003114B5">
      <w:pPr>
        <w:pStyle w:val="ListParagraph"/>
        <w:numPr>
          <w:ilvl w:val="0"/>
          <w:numId w:val="8"/>
        </w:numPr>
        <w:spacing w:before="120" w:after="0" w:line="300" w:lineRule="atLeast"/>
        <w:rPr>
          <w:rFonts w:asciiTheme="minorHAnsi" w:hAnsiTheme="minorHAnsi" w:cstheme="minorHAnsi"/>
          <w:sz w:val="22"/>
        </w:rPr>
      </w:pPr>
      <w:r w:rsidRPr="003114B5">
        <w:rPr>
          <w:rFonts w:asciiTheme="minorHAnsi" w:hAnsiTheme="minorHAnsi" w:cstheme="minorHAnsi"/>
          <w:sz w:val="22"/>
        </w:rPr>
        <w:t>Tested HCV RNA positive from April 2015, when Georgia HCV programme was launched</w:t>
      </w:r>
    </w:p>
    <w:p w14:paraId="2A1B8A49" w14:textId="77777777" w:rsidR="003114B5" w:rsidRPr="003114B5" w:rsidRDefault="003114B5" w:rsidP="003114B5">
      <w:pPr>
        <w:pStyle w:val="ListParagraph"/>
        <w:numPr>
          <w:ilvl w:val="0"/>
          <w:numId w:val="8"/>
        </w:numPr>
        <w:spacing w:before="120" w:after="0" w:line="300" w:lineRule="atLeast"/>
        <w:rPr>
          <w:rFonts w:asciiTheme="minorHAnsi" w:hAnsiTheme="minorHAnsi" w:cstheme="minorHAnsi"/>
          <w:sz w:val="22"/>
        </w:rPr>
      </w:pPr>
      <w:r w:rsidRPr="003114B5">
        <w:rPr>
          <w:rFonts w:asciiTheme="minorHAnsi" w:hAnsiTheme="minorHAnsi" w:cstheme="minorHAnsi"/>
          <w:sz w:val="22"/>
        </w:rPr>
        <w:t>Pregnancy (self-report)</w:t>
      </w:r>
    </w:p>
    <w:p w14:paraId="7D94CB50" w14:textId="77777777" w:rsidR="003114B5" w:rsidRPr="003114B5" w:rsidRDefault="003114B5" w:rsidP="003114B5">
      <w:pPr>
        <w:pStyle w:val="ListParagraph"/>
        <w:numPr>
          <w:ilvl w:val="0"/>
          <w:numId w:val="8"/>
        </w:numPr>
        <w:spacing w:before="120" w:after="0" w:line="300" w:lineRule="atLeast"/>
        <w:rPr>
          <w:rFonts w:asciiTheme="minorHAnsi" w:hAnsiTheme="minorHAnsi" w:cstheme="minorHAnsi"/>
          <w:sz w:val="22"/>
        </w:rPr>
      </w:pPr>
      <w:r w:rsidRPr="003114B5">
        <w:rPr>
          <w:rFonts w:asciiTheme="minorHAnsi" w:hAnsiTheme="minorHAnsi" w:cstheme="minorHAnsi"/>
          <w:sz w:val="22"/>
        </w:rPr>
        <w:t>Currently on treatment for hepatitis C</w:t>
      </w:r>
    </w:p>
    <w:p w14:paraId="5048B020" w14:textId="77777777" w:rsidR="003114B5" w:rsidRPr="003114B5" w:rsidRDefault="003114B5" w:rsidP="003114B5">
      <w:pPr>
        <w:pStyle w:val="ListParagraph"/>
        <w:numPr>
          <w:ilvl w:val="0"/>
          <w:numId w:val="8"/>
        </w:numPr>
        <w:spacing w:before="120" w:after="0" w:line="300" w:lineRule="atLeast"/>
        <w:rPr>
          <w:rFonts w:asciiTheme="minorHAnsi" w:hAnsiTheme="minorHAnsi" w:cstheme="minorHAnsi"/>
          <w:sz w:val="22"/>
        </w:rPr>
      </w:pPr>
      <w:r w:rsidRPr="003114B5">
        <w:rPr>
          <w:rFonts w:asciiTheme="minorHAnsi" w:hAnsiTheme="minorHAnsi" w:cstheme="minorHAnsi"/>
          <w:sz w:val="22"/>
        </w:rPr>
        <w:t>Unable to provide a blood sample</w:t>
      </w:r>
    </w:p>
    <w:p w14:paraId="0F99A367" w14:textId="77777777" w:rsidR="003114B5" w:rsidRPr="003114B5" w:rsidRDefault="003114B5" w:rsidP="003114B5">
      <w:pPr>
        <w:spacing w:before="120" w:after="0" w:line="300" w:lineRule="atLeast"/>
        <w:rPr>
          <w:rFonts w:cstheme="minorHAnsi"/>
        </w:rPr>
      </w:pPr>
      <w:r w:rsidRPr="003114B5">
        <w:rPr>
          <w:rFonts w:cstheme="minorHAnsi"/>
        </w:rPr>
        <w:t>HIV status is not an exclusion criteria.</w:t>
      </w:r>
    </w:p>
    <w:p w14:paraId="141E6FDA" w14:textId="77777777" w:rsidR="003114B5" w:rsidRPr="003114B5" w:rsidRDefault="003114B5" w:rsidP="003114B5">
      <w:pPr>
        <w:pStyle w:val="ListParagraph"/>
        <w:numPr>
          <w:ilvl w:val="0"/>
          <w:numId w:val="7"/>
        </w:numPr>
        <w:spacing w:before="120" w:after="0" w:line="300" w:lineRule="atLeast"/>
        <w:rPr>
          <w:rFonts w:asciiTheme="minorHAnsi" w:hAnsiTheme="minorHAnsi" w:cstheme="minorHAnsi"/>
          <w:sz w:val="22"/>
          <w:lang w:val="en-GB" w:eastAsia="ja-JP"/>
        </w:rPr>
      </w:pPr>
      <w:r w:rsidRPr="003114B5">
        <w:rPr>
          <w:rFonts w:asciiTheme="minorHAnsi" w:hAnsiTheme="minorHAnsi" w:cstheme="minorHAnsi"/>
          <w:sz w:val="22"/>
          <w:lang w:val="en-GB"/>
        </w:rPr>
        <w:t xml:space="preserve">HRS </w:t>
      </w:r>
      <w:r w:rsidRPr="003114B5">
        <w:rPr>
          <w:rFonts w:asciiTheme="minorHAnsi" w:hAnsiTheme="minorHAnsi" w:cstheme="minorHAnsi"/>
          <w:sz w:val="22"/>
          <w:lang w:val="en-GB" w:eastAsia="ja-JP"/>
        </w:rPr>
        <w:t>staff</w:t>
      </w:r>
      <w:r w:rsidRPr="003114B5">
        <w:rPr>
          <w:rFonts w:asciiTheme="minorHAnsi" w:hAnsiTheme="minorHAnsi" w:cstheme="minorHAnsi"/>
          <w:sz w:val="22"/>
          <w:lang w:val="en-GB"/>
        </w:rPr>
        <w:t xml:space="preserve"> involved</w:t>
      </w:r>
      <w:r w:rsidRPr="003114B5">
        <w:rPr>
          <w:rFonts w:asciiTheme="minorHAnsi" w:hAnsiTheme="minorHAnsi" w:cstheme="minorHAnsi"/>
          <w:sz w:val="22"/>
          <w:lang w:val="en-GB" w:eastAsia="ja-JP"/>
        </w:rPr>
        <w:t xml:space="preserve"> in HCV testing and care :</w:t>
      </w:r>
    </w:p>
    <w:p w14:paraId="6EB5B1F8" w14:textId="77777777" w:rsidR="003114B5" w:rsidRPr="003114B5" w:rsidRDefault="003114B5" w:rsidP="003114B5">
      <w:pPr>
        <w:spacing w:before="120" w:after="0" w:line="300" w:lineRule="atLeast"/>
        <w:rPr>
          <w:rFonts w:cstheme="minorHAnsi"/>
          <w:i/>
          <w:lang w:val="en-GB" w:eastAsia="ja-JP"/>
        </w:rPr>
      </w:pPr>
      <w:r w:rsidRPr="003114B5">
        <w:rPr>
          <w:rFonts w:cstheme="minorHAnsi"/>
          <w:i/>
          <w:lang w:val="en-GB" w:eastAsia="ja-JP"/>
        </w:rPr>
        <w:t xml:space="preserve">Inclusion criteria </w:t>
      </w:r>
    </w:p>
    <w:p w14:paraId="4B7964A3" w14:textId="77777777" w:rsidR="003114B5" w:rsidRPr="003114B5" w:rsidRDefault="003114B5" w:rsidP="003114B5">
      <w:pPr>
        <w:pStyle w:val="ListParagraph"/>
        <w:numPr>
          <w:ilvl w:val="0"/>
          <w:numId w:val="11"/>
        </w:numPr>
        <w:spacing w:before="120" w:after="0" w:line="300" w:lineRule="atLeast"/>
        <w:rPr>
          <w:rFonts w:asciiTheme="minorHAnsi" w:hAnsiTheme="minorHAnsi" w:cstheme="minorHAnsi"/>
          <w:sz w:val="22"/>
          <w:lang w:val="en-GB" w:eastAsia="ja-JP"/>
        </w:rPr>
      </w:pPr>
      <w:r w:rsidRPr="003114B5">
        <w:rPr>
          <w:rFonts w:asciiTheme="minorHAnsi" w:hAnsiTheme="minorHAnsi" w:cstheme="minorHAnsi"/>
          <w:sz w:val="22"/>
          <w:lang w:val="en-GB" w:eastAsia="ja-JP"/>
        </w:rPr>
        <w:t xml:space="preserve">Provide HCV services at HRS from screening through linkage to care. </w:t>
      </w:r>
    </w:p>
    <w:p w14:paraId="0B16B0A3" w14:textId="77777777" w:rsidR="003114B5" w:rsidRPr="003114B5" w:rsidRDefault="003114B5" w:rsidP="003114B5">
      <w:pPr>
        <w:pStyle w:val="ListParagraph"/>
        <w:numPr>
          <w:ilvl w:val="0"/>
          <w:numId w:val="7"/>
        </w:numPr>
        <w:spacing w:before="120" w:after="0" w:line="300" w:lineRule="atLeast"/>
        <w:rPr>
          <w:rFonts w:asciiTheme="minorHAnsi" w:hAnsiTheme="minorHAnsi" w:cstheme="minorHAnsi"/>
          <w:sz w:val="22"/>
          <w:lang w:val="en-GB" w:eastAsia="ja-JP"/>
        </w:rPr>
      </w:pPr>
      <w:r w:rsidRPr="003114B5">
        <w:rPr>
          <w:rFonts w:asciiTheme="minorHAnsi" w:hAnsiTheme="minorHAnsi" w:cstheme="minorHAnsi"/>
          <w:sz w:val="22"/>
          <w:lang w:val="en-GB" w:eastAsia="ja-JP"/>
        </w:rPr>
        <w:t>Laboratory staff at HRS, Lugar Centre and Treatment Centres.</w:t>
      </w:r>
    </w:p>
    <w:p w14:paraId="00831484" w14:textId="77777777" w:rsidR="003114B5" w:rsidRPr="003114B5" w:rsidRDefault="003114B5" w:rsidP="003114B5">
      <w:pPr>
        <w:spacing w:before="120" w:after="0" w:line="300" w:lineRule="atLeast"/>
        <w:rPr>
          <w:rFonts w:cstheme="minorHAnsi"/>
          <w:i/>
          <w:lang w:val="en-GB" w:eastAsia="ja-JP"/>
        </w:rPr>
      </w:pPr>
      <w:r w:rsidRPr="003114B5">
        <w:rPr>
          <w:rFonts w:cstheme="minorHAnsi"/>
          <w:i/>
          <w:lang w:val="en-GB" w:eastAsia="ja-JP"/>
        </w:rPr>
        <w:t xml:space="preserve"> Inclusion criteria </w:t>
      </w:r>
    </w:p>
    <w:p w14:paraId="3FB6C161" w14:textId="77777777" w:rsidR="003114B5" w:rsidRPr="003114B5" w:rsidRDefault="003114B5" w:rsidP="003114B5">
      <w:pPr>
        <w:pStyle w:val="ListParagraph"/>
        <w:numPr>
          <w:ilvl w:val="0"/>
          <w:numId w:val="11"/>
        </w:numPr>
        <w:spacing w:before="120" w:after="0" w:line="300" w:lineRule="atLeast"/>
        <w:rPr>
          <w:rFonts w:asciiTheme="minorHAnsi" w:hAnsiTheme="minorHAnsi" w:cstheme="minorHAnsi"/>
          <w:i/>
          <w:sz w:val="22"/>
          <w:lang w:val="en-GB" w:eastAsia="ja-JP"/>
        </w:rPr>
      </w:pPr>
      <w:proofErr w:type="gramStart"/>
      <w:r w:rsidRPr="003114B5">
        <w:rPr>
          <w:rFonts w:asciiTheme="minorHAnsi" w:hAnsiTheme="minorHAnsi" w:cstheme="minorHAnsi"/>
          <w:sz w:val="22"/>
          <w:lang w:val="en-GB" w:eastAsia="ja-JP"/>
        </w:rPr>
        <w:t>Perform  HCV</w:t>
      </w:r>
      <w:proofErr w:type="gramEnd"/>
      <w:r w:rsidRPr="003114B5">
        <w:rPr>
          <w:rFonts w:asciiTheme="minorHAnsi" w:hAnsiTheme="minorHAnsi" w:cstheme="minorHAnsi"/>
          <w:sz w:val="22"/>
          <w:lang w:val="en-GB" w:eastAsia="ja-JP"/>
        </w:rPr>
        <w:t xml:space="preserve"> viremia testing.</w:t>
      </w:r>
    </w:p>
    <w:p w14:paraId="28E2E5C1" w14:textId="77777777" w:rsidR="003114B5" w:rsidRPr="003114B5" w:rsidRDefault="003114B5" w:rsidP="003114B5">
      <w:pPr>
        <w:rPr>
          <w:rFonts w:cstheme="minorHAnsi"/>
          <w:lang w:val="en-IN"/>
        </w:rPr>
      </w:pPr>
    </w:p>
    <w:p w14:paraId="56C3CF6A" w14:textId="5320B595" w:rsidR="003114B5" w:rsidRPr="003114B5" w:rsidRDefault="003114B5" w:rsidP="003114B5">
      <w:pPr>
        <w:rPr>
          <w:rFonts w:cstheme="minorHAnsi"/>
          <w:lang w:val="en-IN"/>
        </w:rPr>
      </w:pPr>
      <w:r w:rsidRPr="003114B5">
        <w:rPr>
          <w:rFonts w:cstheme="minorHAnsi"/>
          <w:lang w:val="en-IN"/>
        </w:rPr>
        <w:t xml:space="preserve">Study procedures: </w:t>
      </w:r>
    </w:p>
    <w:p w14:paraId="0B42CF83" w14:textId="77777777" w:rsidR="003114B5" w:rsidRPr="003114B5" w:rsidRDefault="003114B5" w:rsidP="003114B5">
      <w:pPr>
        <w:spacing w:before="120" w:after="0" w:line="300" w:lineRule="atLeast"/>
        <w:rPr>
          <w:rFonts w:cstheme="minorHAnsi"/>
          <w:bCs/>
          <w:i/>
        </w:rPr>
      </w:pPr>
      <w:r w:rsidRPr="003114B5">
        <w:rPr>
          <w:rFonts w:cstheme="minorHAnsi"/>
          <w:i/>
        </w:rPr>
        <w:t>Enrolment visit</w:t>
      </w:r>
    </w:p>
    <w:p w14:paraId="1D1F7B41" w14:textId="77777777" w:rsidR="003114B5" w:rsidRPr="003114B5" w:rsidRDefault="003114B5" w:rsidP="003114B5">
      <w:pPr>
        <w:spacing w:before="120" w:after="0" w:line="300" w:lineRule="atLeast"/>
        <w:rPr>
          <w:rFonts w:cstheme="minorHAnsi"/>
        </w:rPr>
      </w:pPr>
      <w:r w:rsidRPr="003114B5">
        <w:rPr>
          <w:rFonts w:cstheme="minorHAnsi"/>
        </w:rPr>
        <w:t xml:space="preserve">Individuals presenting at HRSs will be offered anti-HCV screening as per current practice at the sites. The HRS staff will refer individuals who screen anti-HCV positive to study staff for study specific procedures. </w:t>
      </w:r>
    </w:p>
    <w:p w14:paraId="5BC83BF6" w14:textId="77777777" w:rsidR="003114B5" w:rsidRPr="003114B5" w:rsidRDefault="003114B5" w:rsidP="003114B5">
      <w:pPr>
        <w:spacing w:before="120" w:after="0" w:line="300" w:lineRule="atLeast"/>
        <w:rPr>
          <w:rFonts w:cstheme="minorHAnsi"/>
        </w:rPr>
      </w:pPr>
      <w:r w:rsidRPr="003114B5">
        <w:rPr>
          <w:rFonts w:cstheme="minorHAnsi"/>
        </w:rPr>
        <w:t xml:space="preserve">Informed consent will be obtained from participants, to confirm eligibility for the study, and if eligible, to conduct interviews, collect blood for HCV viremia testing (Arms 1 and 2) and access medical records. </w:t>
      </w:r>
    </w:p>
    <w:p w14:paraId="2BB133EB" w14:textId="77777777" w:rsidR="003114B5" w:rsidRPr="003114B5" w:rsidRDefault="003114B5" w:rsidP="003114B5">
      <w:pPr>
        <w:pStyle w:val="ListParagraph"/>
        <w:numPr>
          <w:ilvl w:val="0"/>
          <w:numId w:val="11"/>
        </w:numPr>
        <w:spacing w:before="120" w:after="0" w:line="300" w:lineRule="atLeast"/>
        <w:rPr>
          <w:rFonts w:asciiTheme="minorHAnsi" w:hAnsiTheme="minorHAnsi" w:cstheme="minorHAnsi"/>
          <w:sz w:val="22"/>
        </w:rPr>
      </w:pPr>
      <w:r w:rsidRPr="003114B5">
        <w:rPr>
          <w:rFonts w:asciiTheme="minorHAnsi" w:hAnsiTheme="minorHAnsi" w:cstheme="minorHAnsi"/>
          <w:sz w:val="22"/>
        </w:rPr>
        <w:t xml:space="preserve">At the 4 HRS sites implementing decentralized testing (Arm 1), testing will be done using </w:t>
      </w:r>
      <w:proofErr w:type="spellStart"/>
      <w:r w:rsidRPr="003114B5">
        <w:rPr>
          <w:rFonts w:asciiTheme="minorHAnsi" w:hAnsiTheme="minorHAnsi" w:cstheme="minorHAnsi"/>
          <w:sz w:val="22"/>
        </w:rPr>
        <w:t>Xpert</w:t>
      </w:r>
      <w:proofErr w:type="spellEnd"/>
      <w:r w:rsidRPr="003114B5">
        <w:rPr>
          <w:rFonts w:asciiTheme="minorHAnsi" w:hAnsiTheme="minorHAnsi" w:cstheme="minorHAnsi"/>
          <w:sz w:val="22"/>
          <w:vertAlign w:val="superscript"/>
        </w:rPr>
        <w:t>®</w:t>
      </w:r>
      <w:r w:rsidRPr="003114B5">
        <w:rPr>
          <w:rFonts w:asciiTheme="minorHAnsi" w:hAnsiTheme="minorHAnsi" w:cstheme="minorHAnsi"/>
          <w:sz w:val="22"/>
        </w:rPr>
        <w:t xml:space="preserve"> HCV Viral Load assay. </w:t>
      </w:r>
    </w:p>
    <w:p w14:paraId="48219942" w14:textId="77777777" w:rsidR="003114B5" w:rsidRPr="003114B5" w:rsidRDefault="003114B5" w:rsidP="003114B5">
      <w:pPr>
        <w:pStyle w:val="ListParagraph"/>
        <w:numPr>
          <w:ilvl w:val="0"/>
          <w:numId w:val="11"/>
        </w:numPr>
        <w:spacing w:before="120" w:after="0" w:line="300" w:lineRule="atLeast"/>
        <w:rPr>
          <w:rFonts w:asciiTheme="minorHAnsi" w:hAnsiTheme="minorHAnsi" w:cstheme="minorHAnsi"/>
          <w:sz w:val="22"/>
        </w:rPr>
      </w:pPr>
      <w:r w:rsidRPr="003114B5">
        <w:rPr>
          <w:rFonts w:asciiTheme="minorHAnsi" w:hAnsiTheme="minorHAnsi" w:cstheme="minorHAnsi"/>
          <w:sz w:val="22"/>
        </w:rPr>
        <w:lastRenderedPageBreak/>
        <w:t xml:space="preserve">At the 2 HRS sites implementing centralized </w:t>
      </w:r>
      <w:proofErr w:type="spellStart"/>
      <w:r w:rsidRPr="003114B5">
        <w:rPr>
          <w:rFonts w:asciiTheme="minorHAnsi" w:hAnsiTheme="minorHAnsi" w:cstheme="minorHAnsi"/>
          <w:sz w:val="22"/>
        </w:rPr>
        <w:t>HCVcAg</w:t>
      </w:r>
      <w:proofErr w:type="spellEnd"/>
      <w:r w:rsidRPr="003114B5">
        <w:rPr>
          <w:rFonts w:asciiTheme="minorHAnsi" w:hAnsiTheme="minorHAnsi" w:cstheme="minorHAnsi"/>
          <w:sz w:val="22"/>
        </w:rPr>
        <w:t xml:space="preserve"> testing (Arm 2), plasma samples will be collected and sent from the HRS to Lugar Centre for testing, and participants will be scheduled to return to the HRS at a later date for test results. </w:t>
      </w:r>
    </w:p>
    <w:p w14:paraId="4C015F7A" w14:textId="77777777" w:rsidR="003114B5" w:rsidRPr="003114B5" w:rsidRDefault="003114B5" w:rsidP="003114B5">
      <w:pPr>
        <w:pStyle w:val="ListParagraph"/>
        <w:numPr>
          <w:ilvl w:val="0"/>
          <w:numId w:val="11"/>
        </w:numPr>
        <w:spacing w:before="120" w:after="0" w:line="300" w:lineRule="atLeast"/>
        <w:rPr>
          <w:rFonts w:asciiTheme="minorHAnsi" w:hAnsiTheme="minorHAnsi" w:cstheme="minorHAnsi"/>
          <w:sz w:val="22"/>
        </w:rPr>
      </w:pPr>
      <w:r w:rsidRPr="003114B5">
        <w:rPr>
          <w:rFonts w:asciiTheme="minorHAnsi" w:hAnsiTheme="minorHAnsi" w:cstheme="minorHAnsi"/>
          <w:sz w:val="22"/>
        </w:rPr>
        <w:t xml:space="preserve">At the 2 HRSs implementing standard of care (Arm 3), anti-HCV positive participants will be referred to a treatment centre for viral load testing, where they will have blood drawn on the first visit and return to the treatment centre for results at a subsequent visit. </w:t>
      </w:r>
    </w:p>
    <w:p w14:paraId="6BB8B7BD" w14:textId="77777777" w:rsidR="003114B5" w:rsidRPr="003114B5" w:rsidRDefault="003114B5" w:rsidP="003114B5">
      <w:pPr>
        <w:spacing w:before="120" w:after="0" w:line="300" w:lineRule="atLeast"/>
        <w:rPr>
          <w:rFonts w:cstheme="minorHAnsi"/>
        </w:rPr>
      </w:pPr>
      <w:r w:rsidRPr="003114B5">
        <w:rPr>
          <w:rFonts w:cstheme="minorHAnsi"/>
        </w:rPr>
        <w:t>For each study arm, data on demographics, medical history, and potential risk factors for HCV and not linking into HCV care will be collected through participant interviews. Further management of participants with a positive confirmatory test will be done following current standard of care in all three study arms.</w:t>
      </w:r>
    </w:p>
    <w:p w14:paraId="286DC77F" w14:textId="77777777" w:rsidR="003114B5" w:rsidRPr="003114B5" w:rsidRDefault="003114B5" w:rsidP="003114B5">
      <w:pPr>
        <w:spacing w:before="120" w:after="0" w:line="300" w:lineRule="atLeast"/>
        <w:rPr>
          <w:rFonts w:cstheme="minorHAnsi"/>
          <w:i/>
        </w:rPr>
      </w:pPr>
      <w:r w:rsidRPr="003114B5">
        <w:rPr>
          <w:rFonts w:cstheme="minorHAnsi"/>
          <w:i/>
        </w:rPr>
        <w:t>Follow-up visits</w:t>
      </w:r>
    </w:p>
    <w:p w14:paraId="168B141A" w14:textId="77777777" w:rsidR="003114B5" w:rsidRPr="003114B5" w:rsidRDefault="003114B5" w:rsidP="003114B5">
      <w:pPr>
        <w:spacing w:before="120" w:after="0" w:line="300" w:lineRule="atLeast"/>
        <w:rPr>
          <w:rFonts w:cstheme="minorHAnsi"/>
          <w:u w:val="single"/>
        </w:rPr>
      </w:pPr>
      <w:r w:rsidRPr="003114B5">
        <w:rPr>
          <w:rFonts w:cstheme="minorHAnsi"/>
        </w:rPr>
        <w:t xml:space="preserve">Participants will have a study follow-up questionnaire administered between 4-8 weeks after HCV viremia testing, to assess perceptions on HCV testing. Participants will also be asked to return to the study sites where they were enrolled 6 months after enrolment, for a brief follow-up interview to determine the number of steps they completed along the HCV care cascade and identify potential barriers to care. </w:t>
      </w:r>
    </w:p>
    <w:p w14:paraId="708EEF6D" w14:textId="77777777" w:rsidR="003114B5" w:rsidRPr="003114B5" w:rsidRDefault="003114B5" w:rsidP="003114B5">
      <w:pPr>
        <w:tabs>
          <w:tab w:val="left" w:pos="5051"/>
        </w:tabs>
        <w:spacing w:before="120" w:after="0" w:line="300" w:lineRule="atLeast"/>
        <w:rPr>
          <w:rFonts w:cstheme="minorHAnsi"/>
        </w:rPr>
      </w:pPr>
      <w:r w:rsidRPr="003114B5">
        <w:rPr>
          <w:rFonts w:cstheme="minorHAnsi"/>
        </w:rPr>
        <w:t>Along the cascade of care, indicators of feasibility, acceptability, effectiveness and costs of the three testing approaches will be measured and documented by the study teams. Medical record reviews will be done by study teams for all participants to obtain additional information and verify self-reports about access and utilization of services along the HCV care cascade. The record review will be done at regular time points during the study and where needed 12 months post enrolment to ensure completeness of data.</w:t>
      </w:r>
    </w:p>
    <w:p w14:paraId="36841B77" w14:textId="77777777" w:rsidR="003114B5" w:rsidRPr="003114B5" w:rsidRDefault="003114B5" w:rsidP="003114B5">
      <w:pPr>
        <w:tabs>
          <w:tab w:val="left" w:pos="5051"/>
        </w:tabs>
        <w:spacing w:before="120" w:after="0" w:line="300" w:lineRule="atLeast"/>
        <w:rPr>
          <w:rFonts w:cstheme="minorHAnsi"/>
          <w:i/>
        </w:rPr>
      </w:pPr>
      <w:r w:rsidRPr="003114B5">
        <w:rPr>
          <w:rFonts w:cstheme="minorHAnsi"/>
          <w:i/>
        </w:rPr>
        <w:t xml:space="preserve">Provider surveys </w:t>
      </w:r>
    </w:p>
    <w:p w14:paraId="62C4283E" w14:textId="77777777" w:rsidR="003114B5" w:rsidRPr="003114B5" w:rsidRDefault="003114B5" w:rsidP="003114B5">
      <w:pPr>
        <w:rPr>
          <w:rFonts w:cstheme="minorHAnsi"/>
        </w:rPr>
      </w:pPr>
      <w:r w:rsidRPr="003114B5">
        <w:rPr>
          <w:rFonts w:cstheme="minorHAnsi"/>
        </w:rPr>
        <w:t xml:space="preserve">Surveys will be done with clinical staff at HRSs and laboratory staff at HRSs, Lugar Centre and HCV treatment </w:t>
      </w:r>
      <w:proofErr w:type="spellStart"/>
      <w:r w:rsidRPr="003114B5">
        <w:rPr>
          <w:rFonts w:cstheme="minorHAnsi"/>
        </w:rPr>
        <w:t>centres</w:t>
      </w:r>
      <w:proofErr w:type="spellEnd"/>
      <w:r w:rsidRPr="003114B5">
        <w:rPr>
          <w:rFonts w:cstheme="minorHAnsi"/>
        </w:rPr>
        <w:t xml:space="preserve"> to assess acceptability of the three HCV viremia testing approaches and the impact on workflow. </w:t>
      </w:r>
      <w:r w:rsidRPr="003114B5">
        <w:rPr>
          <w:rFonts w:cstheme="minorHAnsi"/>
        </w:rPr>
        <w:tab/>
      </w:r>
    </w:p>
    <w:p w14:paraId="720911F2" w14:textId="77777777" w:rsidR="003114B5" w:rsidRPr="003114B5" w:rsidRDefault="003114B5" w:rsidP="003114B5">
      <w:pPr>
        <w:rPr>
          <w:rFonts w:cstheme="minorHAnsi"/>
        </w:rPr>
      </w:pPr>
    </w:p>
    <w:p w14:paraId="5B25226E" w14:textId="2D77D841" w:rsidR="003114B5" w:rsidRPr="003114B5" w:rsidRDefault="003114B5" w:rsidP="003114B5">
      <w:pPr>
        <w:rPr>
          <w:rFonts w:cstheme="minorHAnsi"/>
        </w:rPr>
      </w:pPr>
      <w:r w:rsidRPr="003114B5">
        <w:rPr>
          <w:rFonts w:cstheme="minorHAnsi"/>
        </w:rPr>
        <w:t>Sample size: 620 anti-HCV-positive individuals per arm, for total of 1860 participants.</w:t>
      </w:r>
      <w:r w:rsidRPr="003114B5">
        <w:rPr>
          <w:rFonts w:cstheme="minorHAnsi"/>
        </w:rPr>
        <w:tab/>
      </w:r>
    </w:p>
    <w:p w14:paraId="69AFFE11" w14:textId="3C3FBD2C" w:rsidR="003114B5" w:rsidRPr="003114B5" w:rsidRDefault="003114B5" w:rsidP="003114B5">
      <w:pPr>
        <w:rPr>
          <w:rFonts w:cstheme="minorHAnsi"/>
          <w:lang w:val="en-IN"/>
        </w:rPr>
      </w:pPr>
      <w:r w:rsidRPr="003114B5">
        <w:rPr>
          <w:rFonts w:cstheme="minorHAnsi"/>
          <w:lang w:val="en-IN"/>
        </w:rPr>
        <w:t xml:space="preserve">Duration of the study is 12-14 months. </w:t>
      </w:r>
    </w:p>
    <w:p w14:paraId="39F0C8E1" w14:textId="01DA767B" w:rsidR="003114B5" w:rsidRDefault="000954AB" w:rsidP="003114B5">
      <w:pPr>
        <w:rPr>
          <w:rFonts w:cstheme="minorHAnsi"/>
          <w:lang w:val="en-IN"/>
        </w:rPr>
      </w:pPr>
      <w:r>
        <w:rPr>
          <w:rFonts w:cstheme="minorHAnsi"/>
          <w:lang w:val="en-IN"/>
        </w:rPr>
        <w:t xml:space="preserve">Total approximately 10 500 PWID will undergo confirmatory testing within pilot project. </w:t>
      </w:r>
    </w:p>
    <w:p w14:paraId="3500040E" w14:textId="4493F214" w:rsidR="000954AB" w:rsidRDefault="000954AB" w:rsidP="003114B5">
      <w:pPr>
        <w:rPr>
          <w:rFonts w:cstheme="minorHAnsi"/>
          <w:lang w:val="en-IN"/>
        </w:rPr>
      </w:pPr>
      <w:r>
        <w:rPr>
          <w:rFonts w:cstheme="minorHAnsi"/>
          <w:lang w:val="en-IN"/>
        </w:rPr>
        <w:t xml:space="preserve">1860 of those will undergo confirmatory testing within the study. </w:t>
      </w:r>
    </w:p>
    <w:p w14:paraId="6A7991E2" w14:textId="65E03102" w:rsidR="000954AB" w:rsidRPr="000954AB" w:rsidRDefault="000954AB" w:rsidP="000954AB">
      <w:pPr>
        <w:rPr>
          <w:rFonts w:cstheme="minorHAnsi"/>
        </w:rPr>
      </w:pPr>
    </w:p>
    <w:sectPr w:rsidR="000954AB" w:rsidRPr="00095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9FA"/>
    <w:multiLevelType w:val="hybridMultilevel"/>
    <w:tmpl w:val="0A24564A"/>
    <w:lvl w:ilvl="0" w:tplc="0AEAF6C6">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540622"/>
    <w:multiLevelType w:val="hybridMultilevel"/>
    <w:tmpl w:val="C9066E80"/>
    <w:lvl w:ilvl="0" w:tplc="0AEAF6C6">
      <w:numFmt w:val="bullet"/>
      <w:lvlText w:val="-"/>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043321"/>
    <w:multiLevelType w:val="hybridMultilevel"/>
    <w:tmpl w:val="63B4692E"/>
    <w:lvl w:ilvl="0" w:tplc="086EA61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9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2675C6"/>
    <w:multiLevelType w:val="hybridMultilevel"/>
    <w:tmpl w:val="1D4A2154"/>
    <w:lvl w:ilvl="0" w:tplc="2AE29170">
      <w:start w:val="1"/>
      <w:numFmt w:val="decimal"/>
      <w:suff w:val="space"/>
      <w:lvlText w:val="1.%1."/>
      <w:lvlJc w:val="left"/>
      <w:pPr>
        <w:ind w:left="504" w:hanging="504"/>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6F56B66"/>
    <w:multiLevelType w:val="multilevel"/>
    <w:tmpl w:val="BB2AE072"/>
    <w:lvl w:ilvl="0">
      <w:start w:val="1"/>
      <w:numFmt w:val="decimal"/>
      <w:suff w:val="space"/>
      <w:lvlText w:val="2.%1."/>
      <w:lvlJc w:val="left"/>
      <w:pPr>
        <w:ind w:left="504"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ED908B3"/>
    <w:multiLevelType w:val="hybridMultilevel"/>
    <w:tmpl w:val="A5F09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86047D"/>
    <w:multiLevelType w:val="multilevel"/>
    <w:tmpl w:val="490472E8"/>
    <w:lvl w:ilvl="0">
      <w:start w:val="1"/>
      <w:numFmt w:val="decimal"/>
      <w:pStyle w:val="Heading1"/>
      <w:lvlText w:val="%1"/>
      <w:lvlJc w:val="left"/>
      <w:pPr>
        <w:ind w:left="432" w:hanging="432"/>
      </w:pPr>
      <w:rPr>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66" w:hanging="576"/>
      </w:pPr>
      <w:rPr>
        <w:rFonts w:hint="default"/>
        <w:b/>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4C8D7F72"/>
    <w:multiLevelType w:val="hybridMultilevel"/>
    <w:tmpl w:val="CE5EA9E4"/>
    <w:lvl w:ilvl="0" w:tplc="4C3AC682">
      <w:start w:val="1"/>
      <w:numFmt w:val="decimal"/>
      <w:suff w:val="space"/>
      <w:lvlText w:val="1.%1."/>
      <w:lvlJc w:val="left"/>
      <w:pPr>
        <w:ind w:left="1134" w:hanging="504"/>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DEE67B1"/>
    <w:multiLevelType w:val="multilevel"/>
    <w:tmpl w:val="F8081406"/>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51945710"/>
    <w:multiLevelType w:val="hybridMultilevel"/>
    <w:tmpl w:val="9EC0D2EE"/>
    <w:lvl w:ilvl="0" w:tplc="0AEAF6C6">
      <w:numFmt w:val="bullet"/>
      <w:lvlText w:val="-"/>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5F3D65"/>
    <w:multiLevelType w:val="hybridMultilevel"/>
    <w:tmpl w:val="212282CC"/>
    <w:lvl w:ilvl="0" w:tplc="0AEAF6C6">
      <w:numFmt w:val="bullet"/>
      <w:lvlText w:val="-"/>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58096D"/>
    <w:multiLevelType w:val="hybridMultilevel"/>
    <w:tmpl w:val="13121ABC"/>
    <w:lvl w:ilvl="0" w:tplc="DEAAB87C">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
    <w:nsid w:val="5EEC541A"/>
    <w:multiLevelType w:val="hybridMultilevel"/>
    <w:tmpl w:val="0EFE7AB0"/>
    <w:lvl w:ilvl="0" w:tplc="55CA854E">
      <w:start w:val="1"/>
      <w:numFmt w:val="decimal"/>
      <w:suff w:val="space"/>
      <w:lvlText w:val="2.%1."/>
      <w:lvlJc w:val="left"/>
      <w:pPr>
        <w:ind w:left="504" w:hanging="504"/>
      </w:pPr>
      <w:rPr>
        <w:rFonts w:hint="default"/>
        <w:sz w:val="22"/>
        <w:szCs w:val="22"/>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9BE46DB"/>
    <w:multiLevelType w:val="hybridMultilevel"/>
    <w:tmpl w:val="0EB22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83078B"/>
    <w:multiLevelType w:val="hybridMultilevel"/>
    <w:tmpl w:val="B49E90B0"/>
    <w:lvl w:ilvl="0" w:tplc="0AEAF6C6">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11"/>
  </w:num>
  <w:num w:numId="7">
    <w:abstractNumId w:val="5"/>
  </w:num>
  <w:num w:numId="8">
    <w:abstractNumId w:val="9"/>
  </w:num>
  <w:num w:numId="9">
    <w:abstractNumId w:val="10"/>
  </w:num>
  <w:num w:numId="10">
    <w:abstractNumId w:val="1"/>
  </w:num>
  <w:num w:numId="11">
    <w:abstractNumId w:val="14"/>
  </w:num>
  <w:num w:numId="12">
    <w:abstractNumId w:val="12"/>
  </w:num>
  <w:num w:numId="13">
    <w:abstractNumId w:val="7"/>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FB"/>
    <w:rsid w:val="000954AB"/>
    <w:rsid w:val="002D007A"/>
    <w:rsid w:val="003114B5"/>
    <w:rsid w:val="003253F4"/>
    <w:rsid w:val="00616465"/>
    <w:rsid w:val="00987FFB"/>
    <w:rsid w:val="00E2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3B63"/>
  <w15:chartTrackingRefBased/>
  <w15:docId w15:val="{4F7D537C-2AAE-4157-918A-B5FFD4EB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14B5"/>
    <w:pPr>
      <w:numPr>
        <w:numId w:val="1"/>
      </w:numPr>
      <w:tabs>
        <w:tab w:val="left" w:pos="1440"/>
      </w:tabs>
      <w:spacing w:after="120" w:line="240" w:lineRule="auto"/>
      <w:jc w:val="both"/>
      <w:outlineLvl w:val="0"/>
    </w:pPr>
    <w:rPr>
      <w:rFonts w:ascii="Arial" w:eastAsia="MS Mincho" w:hAnsi="Arial" w:cs="Times New Roman"/>
      <w:b/>
      <w:bCs/>
      <w:color w:val="000000"/>
      <w:sz w:val="24"/>
      <w:szCs w:val="24"/>
    </w:rPr>
  </w:style>
  <w:style w:type="paragraph" w:styleId="Heading2">
    <w:name w:val="heading 2"/>
    <w:basedOn w:val="Normal"/>
    <w:next w:val="Normal"/>
    <w:link w:val="Heading2Char"/>
    <w:uiPriority w:val="9"/>
    <w:unhideWhenUsed/>
    <w:qFormat/>
    <w:rsid w:val="003114B5"/>
    <w:pPr>
      <w:numPr>
        <w:ilvl w:val="1"/>
        <w:numId w:val="1"/>
      </w:numPr>
      <w:tabs>
        <w:tab w:val="left" w:pos="1440"/>
      </w:tabs>
      <w:spacing w:after="120" w:line="276" w:lineRule="auto"/>
      <w:outlineLvl w:val="1"/>
    </w:pPr>
    <w:rPr>
      <w:rFonts w:ascii="Arial" w:eastAsiaTheme="minorEastAsia" w:hAnsi="Arial"/>
      <w:b/>
      <w:bCs/>
      <w:snapToGrid w:val="0"/>
      <w:color w:val="000000"/>
      <w:szCs w:val="28"/>
      <w:lang w:val="en-GB" w:eastAsia="en-IN"/>
    </w:rPr>
  </w:style>
  <w:style w:type="paragraph" w:styleId="Heading3">
    <w:name w:val="heading 3"/>
    <w:basedOn w:val="Normal"/>
    <w:next w:val="Normal"/>
    <w:link w:val="Heading3Char"/>
    <w:uiPriority w:val="9"/>
    <w:unhideWhenUsed/>
    <w:qFormat/>
    <w:rsid w:val="003114B5"/>
    <w:pPr>
      <w:keepNext/>
      <w:keepLines/>
      <w:numPr>
        <w:ilvl w:val="2"/>
        <w:numId w:val="1"/>
      </w:numPr>
      <w:tabs>
        <w:tab w:val="left" w:pos="1440"/>
      </w:tabs>
      <w:spacing w:before="120" w:after="0" w:line="300" w:lineRule="atLeast"/>
      <w:outlineLvl w:val="2"/>
    </w:pPr>
    <w:rPr>
      <w:rFonts w:ascii="Arial" w:eastAsiaTheme="majorEastAsia" w:hAnsi="Arial" w:cstheme="majorBidi"/>
      <w:bCs/>
      <w:szCs w:val="26"/>
      <w:lang w:val="en-IN" w:eastAsia="en-IN"/>
    </w:rPr>
  </w:style>
  <w:style w:type="paragraph" w:styleId="Heading4">
    <w:name w:val="heading 4"/>
    <w:basedOn w:val="Normal"/>
    <w:next w:val="Normal"/>
    <w:link w:val="Heading4Char"/>
    <w:uiPriority w:val="9"/>
    <w:unhideWhenUsed/>
    <w:qFormat/>
    <w:rsid w:val="003114B5"/>
    <w:pPr>
      <w:keepNext/>
      <w:keepLines/>
      <w:numPr>
        <w:ilvl w:val="3"/>
        <w:numId w:val="1"/>
      </w:numPr>
      <w:tabs>
        <w:tab w:val="left" w:pos="1440"/>
      </w:tabs>
      <w:spacing w:before="40" w:after="0" w:line="240" w:lineRule="auto"/>
      <w:outlineLvl w:val="3"/>
    </w:pPr>
    <w:rPr>
      <w:rFonts w:ascii="Arial" w:eastAsiaTheme="majorEastAsia" w:hAnsi="Arial" w:cstheme="majorBidi"/>
      <w:bCs/>
      <w:iCs/>
      <w:sz w:val="24"/>
      <w:szCs w:val="25"/>
      <w:lang w:val="en-IN" w:eastAsia="en-IN"/>
    </w:rPr>
  </w:style>
  <w:style w:type="paragraph" w:styleId="Heading5">
    <w:name w:val="heading 5"/>
    <w:basedOn w:val="Normal"/>
    <w:next w:val="Normal"/>
    <w:link w:val="Heading5Char"/>
    <w:uiPriority w:val="9"/>
    <w:unhideWhenUsed/>
    <w:qFormat/>
    <w:rsid w:val="003114B5"/>
    <w:pPr>
      <w:keepNext/>
      <w:keepLines/>
      <w:numPr>
        <w:ilvl w:val="4"/>
        <w:numId w:val="1"/>
      </w:numPr>
      <w:tabs>
        <w:tab w:val="left" w:pos="1440"/>
      </w:tabs>
      <w:spacing w:before="40" w:after="0" w:line="240" w:lineRule="auto"/>
      <w:outlineLvl w:val="4"/>
    </w:pPr>
    <w:rPr>
      <w:rFonts w:asciiTheme="majorHAnsi" w:eastAsiaTheme="majorEastAsia" w:hAnsiTheme="majorHAnsi" w:cstheme="majorBidi"/>
      <w:bCs/>
      <w:i/>
      <w:iCs/>
      <w:color w:val="833C0B" w:themeColor="accent2" w:themeShade="80"/>
      <w:sz w:val="24"/>
      <w:szCs w:val="24"/>
      <w:lang w:val="en-IN" w:eastAsia="en-IN"/>
    </w:rPr>
  </w:style>
  <w:style w:type="paragraph" w:styleId="Heading6">
    <w:name w:val="heading 6"/>
    <w:basedOn w:val="Normal"/>
    <w:next w:val="Normal"/>
    <w:link w:val="Heading6Char"/>
    <w:uiPriority w:val="9"/>
    <w:unhideWhenUsed/>
    <w:qFormat/>
    <w:rsid w:val="003114B5"/>
    <w:pPr>
      <w:keepNext/>
      <w:keepLines/>
      <w:numPr>
        <w:ilvl w:val="5"/>
        <w:numId w:val="1"/>
      </w:numPr>
      <w:tabs>
        <w:tab w:val="left" w:pos="1440"/>
      </w:tabs>
      <w:spacing w:before="40" w:after="0" w:line="240" w:lineRule="auto"/>
      <w:outlineLvl w:val="5"/>
    </w:pPr>
    <w:rPr>
      <w:rFonts w:asciiTheme="majorHAnsi" w:eastAsiaTheme="majorEastAsia" w:hAnsiTheme="majorHAnsi" w:cstheme="majorBidi"/>
      <w:bCs/>
      <w:i/>
      <w:iCs/>
      <w:color w:val="385623" w:themeColor="accent6" w:themeShade="80"/>
      <w:sz w:val="23"/>
      <w:szCs w:val="23"/>
      <w:lang w:val="en-IN" w:eastAsia="en-IN"/>
    </w:rPr>
  </w:style>
  <w:style w:type="paragraph" w:styleId="Heading7">
    <w:name w:val="heading 7"/>
    <w:basedOn w:val="Normal"/>
    <w:next w:val="Normal"/>
    <w:link w:val="Heading7Char"/>
    <w:uiPriority w:val="9"/>
    <w:unhideWhenUsed/>
    <w:qFormat/>
    <w:rsid w:val="003114B5"/>
    <w:pPr>
      <w:keepNext/>
      <w:keepLines/>
      <w:numPr>
        <w:ilvl w:val="6"/>
        <w:numId w:val="1"/>
      </w:numPr>
      <w:tabs>
        <w:tab w:val="left" w:pos="1440"/>
      </w:tabs>
      <w:spacing w:before="40" w:after="0" w:line="240" w:lineRule="auto"/>
      <w:outlineLvl w:val="6"/>
    </w:pPr>
    <w:rPr>
      <w:rFonts w:asciiTheme="majorHAnsi" w:eastAsiaTheme="majorEastAsia" w:hAnsiTheme="majorHAnsi" w:cstheme="majorBidi"/>
      <w:bCs/>
      <w:color w:val="1F3864" w:themeColor="accent1" w:themeShade="80"/>
      <w:sz w:val="24"/>
      <w:lang w:val="en-IN" w:eastAsia="en-IN"/>
    </w:rPr>
  </w:style>
  <w:style w:type="paragraph" w:styleId="Heading8">
    <w:name w:val="heading 8"/>
    <w:basedOn w:val="Normal"/>
    <w:next w:val="Normal"/>
    <w:link w:val="Heading8Char"/>
    <w:uiPriority w:val="9"/>
    <w:unhideWhenUsed/>
    <w:qFormat/>
    <w:rsid w:val="003114B5"/>
    <w:pPr>
      <w:keepNext/>
      <w:keepLines/>
      <w:numPr>
        <w:ilvl w:val="7"/>
        <w:numId w:val="1"/>
      </w:numPr>
      <w:tabs>
        <w:tab w:val="left" w:pos="1440"/>
      </w:tabs>
      <w:spacing w:before="40" w:after="0" w:line="240" w:lineRule="auto"/>
      <w:outlineLvl w:val="7"/>
    </w:pPr>
    <w:rPr>
      <w:rFonts w:asciiTheme="majorHAnsi" w:eastAsiaTheme="majorEastAsia" w:hAnsiTheme="majorHAnsi" w:cstheme="majorBidi"/>
      <w:bCs/>
      <w:color w:val="833C0B" w:themeColor="accent2" w:themeShade="80"/>
      <w:sz w:val="21"/>
      <w:szCs w:val="21"/>
      <w:lang w:val="en-IN" w:eastAsia="en-IN"/>
    </w:rPr>
  </w:style>
  <w:style w:type="paragraph" w:styleId="Heading9">
    <w:name w:val="heading 9"/>
    <w:basedOn w:val="Normal"/>
    <w:next w:val="Normal"/>
    <w:link w:val="Heading9Char"/>
    <w:uiPriority w:val="9"/>
    <w:unhideWhenUsed/>
    <w:qFormat/>
    <w:rsid w:val="003114B5"/>
    <w:pPr>
      <w:keepNext/>
      <w:keepLines/>
      <w:numPr>
        <w:ilvl w:val="8"/>
        <w:numId w:val="1"/>
      </w:numPr>
      <w:tabs>
        <w:tab w:val="left" w:pos="1440"/>
      </w:tabs>
      <w:spacing w:before="40" w:after="0" w:line="240" w:lineRule="auto"/>
      <w:outlineLvl w:val="8"/>
    </w:pPr>
    <w:rPr>
      <w:rFonts w:asciiTheme="majorHAnsi" w:eastAsiaTheme="majorEastAsia" w:hAnsiTheme="majorHAnsi" w:cstheme="majorBidi"/>
      <w:bCs/>
      <w:color w:val="385623" w:themeColor="accent6" w:themeShade="8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4B5"/>
    <w:pPr>
      <w:spacing w:after="200" w:line="276" w:lineRule="auto"/>
    </w:pPr>
    <w:rPr>
      <w:rFonts w:eastAsia="Times New Roman"/>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14B5"/>
    <w:rPr>
      <w:rFonts w:ascii="Arial" w:eastAsia="MS Mincho" w:hAnsi="Arial" w:cs="Times New Roman"/>
      <w:b/>
      <w:bCs/>
      <w:color w:val="000000"/>
      <w:sz w:val="24"/>
      <w:szCs w:val="24"/>
    </w:rPr>
  </w:style>
  <w:style w:type="character" w:customStyle="1" w:styleId="Heading2Char">
    <w:name w:val="Heading 2 Char"/>
    <w:basedOn w:val="DefaultParagraphFont"/>
    <w:link w:val="Heading2"/>
    <w:uiPriority w:val="9"/>
    <w:rsid w:val="003114B5"/>
    <w:rPr>
      <w:rFonts w:ascii="Arial" w:eastAsiaTheme="minorEastAsia" w:hAnsi="Arial"/>
      <w:b/>
      <w:bCs/>
      <w:snapToGrid w:val="0"/>
      <w:color w:val="000000"/>
      <w:szCs w:val="28"/>
      <w:lang w:val="en-GB" w:eastAsia="en-IN"/>
    </w:rPr>
  </w:style>
  <w:style w:type="character" w:customStyle="1" w:styleId="Heading3Char">
    <w:name w:val="Heading 3 Char"/>
    <w:basedOn w:val="DefaultParagraphFont"/>
    <w:link w:val="Heading3"/>
    <w:uiPriority w:val="9"/>
    <w:rsid w:val="003114B5"/>
    <w:rPr>
      <w:rFonts w:ascii="Arial" w:eastAsiaTheme="majorEastAsia" w:hAnsi="Arial" w:cstheme="majorBidi"/>
      <w:bCs/>
      <w:szCs w:val="26"/>
      <w:lang w:val="en-IN" w:eastAsia="en-IN"/>
    </w:rPr>
  </w:style>
  <w:style w:type="character" w:customStyle="1" w:styleId="Heading4Char">
    <w:name w:val="Heading 4 Char"/>
    <w:basedOn w:val="DefaultParagraphFont"/>
    <w:link w:val="Heading4"/>
    <w:uiPriority w:val="9"/>
    <w:rsid w:val="003114B5"/>
    <w:rPr>
      <w:rFonts w:ascii="Arial" w:eastAsiaTheme="majorEastAsia" w:hAnsi="Arial" w:cstheme="majorBidi"/>
      <w:bCs/>
      <w:iCs/>
      <w:sz w:val="24"/>
      <w:szCs w:val="25"/>
      <w:lang w:val="en-IN" w:eastAsia="en-IN"/>
    </w:rPr>
  </w:style>
  <w:style w:type="character" w:customStyle="1" w:styleId="Heading5Char">
    <w:name w:val="Heading 5 Char"/>
    <w:basedOn w:val="DefaultParagraphFont"/>
    <w:link w:val="Heading5"/>
    <w:uiPriority w:val="9"/>
    <w:rsid w:val="003114B5"/>
    <w:rPr>
      <w:rFonts w:asciiTheme="majorHAnsi" w:eastAsiaTheme="majorEastAsia" w:hAnsiTheme="majorHAnsi" w:cstheme="majorBidi"/>
      <w:bCs/>
      <w:i/>
      <w:iCs/>
      <w:color w:val="833C0B" w:themeColor="accent2" w:themeShade="80"/>
      <w:sz w:val="24"/>
      <w:szCs w:val="24"/>
      <w:lang w:val="en-IN" w:eastAsia="en-IN"/>
    </w:rPr>
  </w:style>
  <w:style w:type="character" w:customStyle="1" w:styleId="Heading6Char">
    <w:name w:val="Heading 6 Char"/>
    <w:basedOn w:val="DefaultParagraphFont"/>
    <w:link w:val="Heading6"/>
    <w:uiPriority w:val="9"/>
    <w:rsid w:val="003114B5"/>
    <w:rPr>
      <w:rFonts w:asciiTheme="majorHAnsi" w:eastAsiaTheme="majorEastAsia" w:hAnsiTheme="majorHAnsi" w:cstheme="majorBidi"/>
      <w:bCs/>
      <w:i/>
      <w:iCs/>
      <w:color w:val="385623" w:themeColor="accent6" w:themeShade="80"/>
      <w:sz w:val="23"/>
      <w:szCs w:val="23"/>
      <w:lang w:val="en-IN" w:eastAsia="en-IN"/>
    </w:rPr>
  </w:style>
  <w:style w:type="character" w:customStyle="1" w:styleId="Heading7Char">
    <w:name w:val="Heading 7 Char"/>
    <w:basedOn w:val="DefaultParagraphFont"/>
    <w:link w:val="Heading7"/>
    <w:uiPriority w:val="9"/>
    <w:rsid w:val="003114B5"/>
    <w:rPr>
      <w:rFonts w:asciiTheme="majorHAnsi" w:eastAsiaTheme="majorEastAsia" w:hAnsiTheme="majorHAnsi" w:cstheme="majorBidi"/>
      <w:bCs/>
      <w:color w:val="1F3864" w:themeColor="accent1" w:themeShade="80"/>
      <w:sz w:val="24"/>
      <w:lang w:val="en-IN" w:eastAsia="en-IN"/>
    </w:rPr>
  </w:style>
  <w:style w:type="character" w:customStyle="1" w:styleId="Heading8Char">
    <w:name w:val="Heading 8 Char"/>
    <w:basedOn w:val="DefaultParagraphFont"/>
    <w:link w:val="Heading8"/>
    <w:uiPriority w:val="9"/>
    <w:rsid w:val="003114B5"/>
    <w:rPr>
      <w:rFonts w:asciiTheme="majorHAnsi" w:eastAsiaTheme="majorEastAsia" w:hAnsiTheme="majorHAnsi" w:cstheme="majorBidi"/>
      <w:bCs/>
      <w:color w:val="833C0B" w:themeColor="accent2" w:themeShade="80"/>
      <w:sz w:val="21"/>
      <w:szCs w:val="21"/>
      <w:lang w:val="en-IN" w:eastAsia="en-IN"/>
    </w:rPr>
  </w:style>
  <w:style w:type="character" w:customStyle="1" w:styleId="Heading9Char">
    <w:name w:val="Heading 9 Char"/>
    <w:basedOn w:val="DefaultParagraphFont"/>
    <w:link w:val="Heading9"/>
    <w:uiPriority w:val="9"/>
    <w:rsid w:val="003114B5"/>
    <w:rPr>
      <w:rFonts w:asciiTheme="majorHAnsi" w:eastAsiaTheme="majorEastAsia" w:hAnsiTheme="majorHAnsi" w:cstheme="majorBidi"/>
      <w:bCs/>
      <w:color w:val="385623" w:themeColor="accent6" w:themeShade="80"/>
      <w:sz w:val="24"/>
      <w:lang w:val="en-IN" w:eastAsia="en-IN"/>
    </w:rPr>
  </w:style>
  <w:style w:type="paragraph" w:styleId="ListParagraph">
    <w:name w:val="List Paragraph"/>
    <w:basedOn w:val="Normal"/>
    <w:link w:val="ListParagraphChar"/>
    <w:uiPriority w:val="34"/>
    <w:qFormat/>
    <w:rsid w:val="003114B5"/>
    <w:pPr>
      <w:tabs>
        <w:tab w:val="left" w:pos="1440"/>
      </w:tabs>
      <w:spacing w:after="120" w:line="240" w:lineRule="auto"/>
      <w:ind w:left="720"/>
      <w:contextualSpacing/>
    </w:pPr>
    <w:rPr>
      <w:rFonts w:ascii="Arial" w:eastAsiaTheme="minorEastAsia" w:hAnsi="Arial"/>
      <w:bCs/>
      <w:color w:val="000000"/>
      <w:sz w:val="24"/>
      <w:lang w:val="en-IN" w:eastAsia="en-IN"/>
    </w:rPr>
  </w:style>
  <w:style w:type="character" w:customStyle="1" w:styleId="ListParagraphChar">
    <w:name w:val="List Paragraph Char"/>
    <w:link w:val="ListParagraph"/>
    <w:uiPriority w:val="34"/>
    <w:locked/>
    <w:rsid w:val="003114B5"/>
    <w:rPr>
      <w:rFonts w:ascii="Arial" w:eastAsiaTheme="minorEastAsia" w:hAnsi="Arial"/>
      <w:bCs/>
      <w:color w:val="000000"/>
      <w:sz w:val="24"/>
      <w:lang w:val="en-IN" w:eastAsia="en-IN"/>
    </w:rPr>
  </w:style>
  <w:style w:type="paragraph" w:styleId="TOCHeading">
    <w:name w:val="TOC Heading"/>
    <w:basedOn w:val="Heading1"/>
    <w:next w:val="Normal"/>
    <w:uiPriority w:val="39"/>
    <w:unhideWhenUsed/>
    <w:qFormat/>
    <w:rsid w:val="003114B5"/>
    <w:pPr>
      <w:numPr>
        <w:numId w:val="15"/>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Org16</b:Tag>
    <b:SourceType>DocumentFromInternetSite</b:SourceType>
    <b:Guid>{CE89E42B-D60D-4257-879E-2F0436121261}</b:Guid>
    <b:Title>Guidelines for screening, care and treatment of persons with chronic HCV infection</b:Title>
    <b:Year>2017</b:Year>
    <b:Author>
      <b:Author>
        <b:Corporate>Organization, World Health</b:Corporate>
      </b:Author>
    </b:Author>
    <b:Month>February</b:Month>
    <b:YearAccessed>2017</b:YearAccessed>
    <b:MonthAccessed>February</b:MonthAccessed>
    <b:DayAccessed>24</b:DayAccessed>
    <b:URL>http://www.who.int/hepatitis/publications/guidelines-hepatitis-c-b-testing/en/</b:URL>
    <b:RefOrder>1</b:RefOrder>
  </b:Source>
  <b:Source>
    <b:Tag>Moh13</b:Tag>
    <b:SourceType>JournalArticle</b:SourceType>
    <b:Guid>{E26D0921-6F21-439B-8746-B0A07B883067}</b:Guid>
    <b:Title>Global epidemiology of hepatitis C virus infection: new estimates of age-specific antibody to HCV seroprevalence</b:Title>
    <b:Year>2013</b:Year>
    <b:Author>
      <b:Author>
        <b:Corporate>Mohd Hanafiah K, Groeger J, Flaxman AD, Wiersma ST.</b:Corporate>
      </b:Author>
    </b:Author>
    <b:JournalName>Hepatology</b:JournalName>
    <b:Pages>1333-1342</b:Pages>
    <b:Volume>57</b:Volume>
    <b:RefOrder>2</b:RefOrder>
  </b:Source>
  <b:Source>
    <b:Tag>Kar09</b:Tag>
    <b:SourceType>JournalArticle</b:SourceType>
    <b:Guid>{CDD1818F-8E8B-4B35-A962-966FF975163D}</b:Guid>
    <b:Author>
      <b:Author>
        <b:Corporate>Karchava M, Sharvadze L, Gatserelia L, Badridze N, Tsertsvadze T.</b:Corporate>
      </b:Author>
    </b:Author>
    <b:Title>Prevailing HCV genotypes and subtypes among hiv infected patients in Georgia.</b:Title>
    <b:JournalName>Georgian Med News</b:JournalName>
    <b:Year>2009</b:Year>
    <b:Pages>51-5</b:Pages>
    <b:Volume>177</b:Volume>
    <b:RefOrder>3</b:RefOrder>
  </b:Source>
  <b:Source>
    <b:Tag>Kar15</b:Tag>
    <b:SourceType>JournalArticle</b:SourceType>
    <b:Guid>{49E3D021-1EEA-4111-B295-D555399A6BED}</b:Guid>
    <b:Author>
      <b:Author>
        <b:Corporate>Karchava M, Waldenström J, Parker M, Hallack R, Sharvadze L, Gatserelia L</b:Corporate>
      </b:Author>
    </b:Author>
    <b:Title>High incidence of the hepatitis C virus recombinant 2k/1b in Georgia: Recommendations for testing and treatment.</b:Title>
    <b:JournalName>Hepatol Res</b:JournalName>
    <b:Year>2015</b:Year>
    <b:Pages>1292-8</b:Pages>
    <b:Volume>45</b:Volume>
    <b:RefOrder>4</b:RefOrder>
  </b:Source>
  <b:Source>
    <b:Tag>Zak16</b:Tag>
    <b:SourceType>JournalArticle</b:SourceType>
    <b:Guid>{6221DE77-242A-4DC0-BAA8-66EF2D5E0367}</b:Guid>
    <b:Author>
      <b:Author>
        <b:Corporate>Zakalashvili M, Weizenegger M, Bartel J, Markowski M, Zarqua J, Kavsadze S</b:Corporate>
      </b:Author>
    </b:Author>
    <b:Title>Emergence of Hepatitis C Virus Genotype Recombinant Forms 2k/1b in Georgia.</b:Title>
    <b:JournalName>Clin Lab</b:JournalName>
    <b:Year>2016</b:Year>
    <b:Pages>1347-1351</b:Pages>
    <b:Volume>62</b:Volume>
    <b:RefOrder>5</b:RefOrder>
  </b:Source>
  <b:Source>
    <b:Tag>Gvi16</b:Tag>
    <b:SourceType>Report</b:SourceType>
    <b:Guid>{B6C993D3-41D3-4DAB-B5B1-F1395BD37A7D}</b:Guid>
    <b:Title>National Progress toward Hepatitis C Elimination - Georgia 2015-2016</b:Title>
    <b:Year>2016</b:Year>
    <b:Author>
      <b:Author>
        <b:Corporate>Gvinjilia L, Nazrullah M, Sergeenko D, Tsertsvadze T, Kamkamidze G, Butsashvili M, Gamkrelidze A, Imnadze P, Kvaratskhelia V, Chkhartishvili N, Sharvadze L, Drobeniuc J, Hagan L, Ward JW, Morgan J, Averhoff F</b:Corporate>
      </b:Author>
    </b:Author>
    <b:Publisher>US Department of Health and Human Services/Centres for Disease Control and Prevention</b:Publisher>
    <b:ThesisType>Morbidity and Mortality Weekly Report</b:ThesisType>
    <b:RefOrder>6</b:RefOrder>
  </b:Source>
  <b:Source>
    <b:Tag>Sir09</b:Tag>
    <b:SourceType>Report</b:SourceType>
    <b:Guid>{F17985EC-6A39-4EFA-9D90-9B92932F372B}</b:Guid>
    <b:Author>
      <b:Author>
        <b:Corporate>Sirbiladze T, Tavzarashvili L, Zabransky T, Sturua L</b:Corporate>
      </b:Author>
    </b:Author>
    <b:Title>Estimating the prevalence of Injection drug use in five cities in Georgia</b:Title>
    <b:Year>2009</b:Year>
    <b:DayAccessed>10 March 2017</b:DayAccessed>
    <b:URL>http://www.altgeorgia.ge/2012/myfiles/Estimating%20the%20Prevalence%20of%20Injection%20Drug%20Use%20in%20Five%20Citi.pdf</b:URL>
    <b:RefOrder>7</b:RefOrder>
  </b:Source>
  <b:Source>
    <b:Tag>Stv06</b:Tag>
    <b:SourceType>JournalArticle</b:SourceType>
    <b:Guid>{F905E9DB-6850-4570-B4DE-75D1B20386B6}</b:Guid>
    <b:Author>
      <b:Author>
        <b:Corporate>Stvilia K, Tsertsvadze T, Sharvadze L, Aladashvili M, del Rio C, Kuniholm MH, Nelson KE</b:Corporate>
      </b:Author>
    </b:Author>
    <b:Title>Prevalence of hepatitis C, HIV, and risk behaviors for blood-borne infections: a population-based survey of the adult population of T'bilisi, Republic of Georgia.</b:Title>
    <b:JournalName>J Urban Health</b:JournalName>
    <b:Year>2006</b:Year>
    <b:Pages>289-98</b:Pages>
    <b:Volume>83</b:Volume>
    <b:RefOrder>8</b:RefOrder>
  </b:Source>
  <b:Source>
    <b:Tag>Der07</b:Tag>
    <b:SourceType>Report</b:SourceType>
    <b:Guid>{8FB42E8F-613C-415A-B52D-D1424A6D3C5F}</b:Guid>
    <b:Title>Characteristics, High‐Risk Behaviors and Knowledge of STI/HIV/AIDS, and Prevalence of HIV, Syphilis and Hepatitis Among Injecting Drug Users in Batumi, Georgia: 2004 – 2006</b:Title>
    <b:Year>2007</b:Year>
    <b:City>Washington DC</b:City>
    <b:Publisher>USAID</b:Publisher>
    <b:YearAccessed>2017</b:YearAccessed>
    <b:MonthAccessed>March</b:MonthAccessed>
    <b:DayAccessed>16 March</b:DayAccessed>
    <b:URL>http://pdf.usaid.gov/pdf_docs/Pnadk406.pdf</b:URL>
    <b:Author>
      <b:Author>
        <b:Corporate>Dershem L, Tabatadze T, Sirbiladze T, Tavzarashvili L, Todadze K, Tsagareli T</b:Corporate>
      </b:Author>
    </b:Author>
    <b:RefOrder>9</b:RefOrder>
  </b:Source>
  <b:Source>
    <b:Tag>Bou14</b:Tag>
    <b:SourceType>JournalArticle</b:SourceType>
    <b:Guid>{B29A2582-AB95-4201-A2B9-20516EB94E96}</b:Guid>
    <b:Author>
      <b:Author>
        <b:Corporate>Bouscaillou J, Champagnat J, Luhmann N, Avril E, Inaridze I, Miollany V, Labartkava K, Kirtadze I, Butsashvili M, Kamkamidze G, Pataut D.</b:Corporate>
      </b:Author>
    </b:Author>
    <b:Title>Hepatitis C among people who inject drugs in Tbilisi, Georgia: an urgent need for prevention and treatment.</b:Title>
    <b:Year>2014</b:Year>
    <b:JournalName>Int J Drug Policy</b:JournalName>
    <b:Pages>871-8</b:Pages>
    <b:Volume>25</b:Volume>
    <b:RefOrder>10</b:RefOrder>
  </b:Source>
  <b:Source>
    <b:Tag>Gha09</b:Tag>
    <b:SourceType>JournalArticle</b:SourceType>
    <b:Guid>{5524C6FC-10F6-450E-9CCD-E63FA8A76F34}</b:Guid>
    <b:Author>
      <b:Author>
        <b:Corporate>Ghany MG, Strader DB, Thomas DL, Seeff LB; Diseases, American Association for the Study of Liver</b:Corporate>
      </b:Author>
    </b:Author>
    <b:Title>Diagnosis, management, and treatment of hepatitis C: an update.</b:Title>
    <b:JournalName>Hepatology</b:JournalName>
    <b:Year>2009</b:Year>
    <b:Pages>1335-74</b:Pages>
    <b:Volume>49</b:Volume>
    <b:Issue>4</b:Issue>
    <b:RefOrder>11</b:RefOrder>
  </b:Source>
  <b:Source>
    <b:Tag>Law13</b:Tag>
    <b:SourceType>JournalArticle</b:SourceType>
    <b:Guid>{EE88E366-415D-4EBE-8D49-6BA9F84EB64C}</b:Guid>
    <b:Author>
      <b:Author>
        <b:Corporate>Lawitz E, Lalezari JP, Hassanein T, Kowdley KV, Poordad FF, Sheikh AM, et al.</b:Corporate>
      </b:Author>
    </b:Author>
    <b:Title>Sofosbuvir in combination with peginterferon alfa-2a and ribavirin for non-cirrhotic, treatment-naive patients with genotypes 1, 2, and 3 hepatitis C infection: a randomised, double-blind, phase 2 trial</b:Title>
    <b:JournalName>Lancet Infect Dis</b:JournalName>
    <b:Year>2013</b:Year>
    <b:Pages>401-408</b:Pages>
    <b:Volume>13</b:Volume>
    <b:RefOrder>12</b:RefOrder>
  </b:Source>
  <b:Source>
    <b:Tag>Law131</b:Tag>
    <b:SourceType>JournalArticle</b:SourceType>
    <b:Guid>{CD6990B5-5080-4957-B7BC-5EC0B9E81E1F}</b:Guid>
    <b:Author>
      <b:Author>
        <b:Corporate>Lawitz E, Gane EJ</b:Corporate>
      </b:Author>
    </b:Author>
    <b:Title>Sofosbuvir for previously untreated chronic hepatitis C infection</b:Title>
    <b:JournalName>NEJM</b:JournalName>
    <b:Year>2013</b:Year>
    <b:Pages>678-679</b:Pages>
    <b:Volume>369</b:Volume>
    <b:RefOrder>13</b:RefOrder>
  </b:Source>
  <b:Source>
    <b:Tag>Nel15</b:Tag>
    <b:SourceType>JournalArticle</b:SourceType>
    <b:Guid>{10D02383-358B-4CE3-A19C-539524469F1C}</b:Guid>
    <b:Author>
      <b:Author>
        <b:Corporate>Nelson DR, Cooper JN, Lalezari JP, et al.</b:Corporate>
      </b:Author>
    </b:Author>
    <b:Title>All-oral 12 week treatment with daclatasvir plus sofosbuvir in patients with hepatitis C virus genotype 3 infection: ALLY-3 phase III study.</b:Title>
    <b:JournalName>Hepatology</b:JournalName>
    <b:Year>2015</b:Year>
    <b:Pages>1127–1135</b:Pages>
    <b:Volume>61</b:Volume>
    <b:RefOrder>14</b:RefOrder>
  </b:Source>
  <b:Source>
    <b:Tag>Sta16</b:Tag>
    <b:SourceType>JournalArticle</b:SourceType>
    <b:Guid>{2B2BB1C2-78C7-49FC-A4E4-2189048ABC3C}</b:Guid>
    <b:Author>
      <b:Author>
        <b:Corporate>Pol S, Corouge M, Vallet-Pichard A</b:Corporate>
      </b:Author>
    </b:Author>
    <b:Title>Daclatasvir–sofosbuvir combination therapy</b:Title>
    <b:JournalName>Hepatic Medicine: Evidence and Research</b:JournalName>
    <b:Year>2016</b:Year>
    <b:Pages>21-26</b:Pages>
    <b:Volume>8</b:Volume>
    <b:RefOrder>15</b:RefOrder>
  </b:Source>
  <b:Source>
    <b:Tag>JMP02</b:Tag>
    <b:SourceType>JournalArticle</b:SourceType>
    <b:Guid>{80C21A88-168A-4FF5-8447-5FC480D421FD}</b:Guid>
    <b:Author>
      <b:Author>
        <b:NameList>
          <b:Person>
            <b:Last>JM</b:Last>
            <b:First>Pawlotsky</b:First>
          </b:Person>
        </b:NameList>
      </b:Author>
    </b:Author>
    <b:Title>Use and interpretation of virologial tests for hepatitis C</b:Title>
    <b:Year>2002</b:Year>
    <b:JournalName>Hepatology</b:JournalName>
    <b:Pages>S65-73</b:Pages>
    <b:Volume>36</b:Volume>
    <b:Issue>5</b:Issue>
    <b:RefOrder>16</b:RefOrder>
  </b:Source>
  <b:Source>
    <b:Tag>Fre16</b:Tag>
    <b:SourceType>JournalArticle</b:SourceType>
    <b:Guid>{57127787-07F9-4120-8A67-3B271CA6CC3C}</b:Guid>
    <b:Title>Hepatitis C Core Antigen Testing for Diagnosis of Hepatitis C Virus Infection: A Systematic Review and Meta-analysis.</b:Title>
    <b:Year>2016</b:Year>
    <b:Author>
      <b:Author>
        <b:Corporate>Freiman JM, Tran TM, Schumacher SG, White LF, Ongarello S, Cohn J, Easterbrook PJ, Linas BP, Denkinger CM.</b:Corporate>
      </b:Author>
    </b:Author>
    <b:JournalName>Ann Intern Med</b:JournalName>
    <b:Pages>345-55</b:Pages>
    <b:Volume>165</b:Volume>
    <b:DOI>doi: 10.7326/M16-0065. Epub 2016 Jun 21.</b:DOI>
    <b:RefOrder>17</b:RefOrder>
  </b:Source>
  <b:Source>
    <b:Tag>Akh17</b:Tag>
    <b:SourceType>ConferenceProceedings</b:SourceType>
    <b:Guid>{B5234042-85EE-4661-BB60-04186F618B95}</b:Guid>
    <b:Author>
      <b:Author>
        <b:Corporate>Akhazashivili M</b:Corporate>
      </b:Author>
    </b:Author>
    <b:Title>Architect HCV core Ag Assay</b:Title>
    <b:Year>2017</b:Year>
    <b:ConferenceName>4th Hepatitis C Elimination Workshop</b:ConferenceName>
    <b:City>Georgia</b:City>
    <b:RefOrder>18</b:RefOrder>
  </b:Source>
  <b:Source>
    <b:Tag>Eur17</b:Tag>
    <b:SourceType>JournalArticle</b:SourceType>
    <b:Guid>{CC912460-A40F-4F8A-9250-039C2C47E805}</b:Guid>
    <b:Author>
      <b:Author>
        <b:Corporate>Liver, European Association for the Study of the</b:Corporate>
      </b:Author>
    </b:Author>
    <b:Title>EASL Recommendations on Treatment of Hepatitis C 2016</b:Title>
    <b:JournalName>J Hepatology</b:JournalName>
    <b:Year>2017</b:Year>
    <b:Pages>153-159</b:Pages>
    <b:Volume>66</b:Volume>
    <b:RefOrder>19</b:RefOrder>
  </b:Source>
  <b:Source>
    <b:Tag>PFe04</b:Tag>
    <b:SourceType>JournalArticle</b:SourceType>
    <b:Guid>{A4CECD54-3DFE-4BE1-A36E-2C2EFD0CC35C}</b:Guid>
    <b:Author>
      <b:Author>
        <b:Corporate>P., Ferenci</b:Corporate>
      </b:Author>
    </b:Author>
    <b:Title>Predictors of response to therapy for chronic hepatitis C</b:Title>
    <b:JournalName>Semin Liver Disease; Suppl 2</b:JournalName>
    <b:Year>2004</b:Year>
    <b:Pages>25-31</b:Pages>
    <b:RefOrder>20</b:RefOrder>
  </b:Source>
  <b:Source>
    <b:Tag>Zeu04</b:Tag>
    <b:SourceType>JournalArticle</b:SourceType>
    <b:Guid>{4FBE0314-F918-4717-B03F-C553FC3C8CF9}</b:Guid>
    <b:Author>
      <b:Author>
        <b:Corporate>S, Zeuzem</b:Corporate>
      </b:Author>
    </b:Author>
    <b:Title>Heterogeneous Virologic Response Rates to Interferon-Based Therapy in Patients with Chronic Hepatitis C: Who Responds Less Well?</b:Title>
    <b:JournalName>Annals of Intern Med</b:JournalName>
    <b:Year>2004</b:Year>
    <b:Pages>370-81</b:Pages>
    <b:Volume>140</b:Volume>
    <b:RefOrder>21</b:RefOrder>
  </b:Source>
  <b:Source>
    <b:Tag>Kar17</b:Tag>
    <b:SourceType>JournalArticle</b:SourceType>
    <b:Guid>{7F673E17-8252-4ADB-990D-C45CF5DF93A8}</b:Guid>
    <b:Author>
      <b:Author>
        <b:Corporate>Karchava M, Chkhartishvili N, Sharvadze L, Abutidze A, Dvali N, Gatserelia L</b:Corporate>
      </b:Author>
    </b:Author>
    <b:Title>Impact of hepatitis C virus recombinant form RF1_2k/1b on HCV treatment outcomes within Georgian national hepatitis C elimination program.</b:Title>
    <b:JournalName>Hepatol Res</b:JournalName>
    <b:Year>2017</b:Year>
    <b:DOI>doi: 10.1111/hepr.12890. [Epub ahead of print]</b:DOI>
    <b:RefOrder>22</b:RefOrder>
  </b:Source>
</b:Sources>
</file>

<file path=customXml/itemProps1.xml><?xml version="1.0" encoding="utf-8"?>
<ds:datastoreItem xmlns:ds="http://schemas.openxmlformats.org/officeDocument/2006/customXml" ds:itemID="{12E11E7E-33D6-47C6-8BE1-3B76D546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Japaridze</dc:creator>
  <cp:keywords/>
  <dc:description/>
  <cp:lastModifiedBy>Maia Tsereteli</cp:lastModifiedBy>
  <cp:revision>2</cp:revision>
  <dcterms:created xsi:type="dcterms:W3CDTF">2018-04-06T11:43:00Z</dcterms:created>
  <dcterms:modified xsi:type="dcterms:W3CDTF">2018-04-06T11:43:00Z</dcterms:modified>
</cp:coreProperties>
</file>